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3C120C">
        <w:rPr>
          <w:rFonts w:ascii="Calibri" w:hAnsi="Calibri" w:cs="Arial"/>
          <w:b/>
          <w:bCs/>
          <w:sz w:val="32"/>
          <w:szCs w:val="32"/>
        </w:rPr>
        <w:t xml:space="preserve"> dróg powiatowych w sezonie 2016/2017</w:t>
      </w:r>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4536"/>
        <w:jc w:val="both"/>
        <w:rPr>
          <w:rFonts w:ascii="Calibri" w:hAnsi="Calibri"/>
        </w:rPr>
      </w:pPr>
      <w:r>
        <w:rPr>
          <w:rFonts w:ascii="Calibri" w:hAnsi="Calibri"/>
        </w:rPr>
        <w:t>Zatwierdzono w dniu: 14</w:t>
      </w:r>
      <w:r w:rsidRPr="00E65B80">
        <w:rPr>
          <w:rFonts w:ascii="Calibri" w:hAnsi="Calibri"/>
        </w:rPr>
        <w:t xml:space="preserve"> października</w:t>
      </w:r>
      <w:r>
        <w:rPr>
          <w:rFonts w:ascii="Calibri" w:hAnsi="Calibri"/>
        </w:rPr>
        <w:t xml:space="preserve"> 2016</w:t>
      </w:r>
      <w:r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Pr="00465C86">
        <w:rPr>
          <w:color w:val="000000"/>
          <w:spacing w:val="-8"/>
          <w:sz w:val="20"/>
          <w:szCs w:val="20"/>
        </w:rPr>
        <w:t>Publicznych (</w:t>
      </w:r>
      <w:proofErr w:type="spellStart"/>
      <w:r w:rsidRPr="00465C86">
        <w:rPr>
          <w:color w:val="000000"/>
          <w:spacing w:val="-8"/>
          <w:sz w:val="20"/>
          <w:szCs w:val="20"/>
        </w:rPr>
        <w:t>t.j</w:t>
      </w:r>
      <w:proofErr w:type="spellEnd"/>
      <w:r w:rsidRPr="00465C86">
        <w:rPr>
          <w:color w:val="000000"/>
          <w:spacing w:val="-8"/>
          <w:sz w:val="20"/>
          <w:szCs w:val="20"/>
        </w:rPr>
        <w:t xml:space="preserve">. Dz. U. 2015, poz. 2164 z </w:t>
      </w:r>
      <w:proofErr w:type="spellStart"/>
      <w:r w:rsidRPr="00465C86">
        <w:rPr>
          <w:color w:val="000000"/>
          <w:spacing w:val="-8"/>
          <w:sz w:val="20"/>
          <w:szCs w:val="20"/>
        </w:rPr>
        <w:t>późn</w:t>
      </w:r>
      <w:proofErr w:type="spellEnd"/>
      <w:r w:rsidRPr="00465C86">
        <w:rPr>
          <w:color w:val="000000"/>
          <w:spacing w:val="-8"/>
          <w:sz w:val="20"/>
          <w:szCs w:val="20"/>
        </w:rPr>
        <w:t xml:space="preserve">. zmianami) – zwana dalej „ustawa </w:t>
      </w:r>
      <w:proofErr w:type="spellStart"/>
      <w:r w:rsidRPr="00465C86">
        <w:rPr>
          <w:color w:val="000000"/>
          <w:spacing w:val="-8"/>
          <w:sz w:val="20"/>
          <w:szCs w:val="20"/>
        </w:rPr>
        <w:t>Pzp</w:t>
      </w:r>
      <w:proofErr w:type="spellEnd"/>
      <w:r w:rsidRPr="00465C86">
        <w:rPr>
          <w:color w:val="000000"/>
          <w:spacing w:val="-8"/>
          <w:sz w:val="20"/>
          <w:szCs w:val="20"/>
        </w:rPr>
        <w:t xml:space="preserve">”, aktów </w:t>
      </w:r>
      <w:r w:rsidRPr="00465C86">
        <w:rPr>
          <w:color w:val="000000"/>
          <w:spacing w:val="-11"/>
          <w:sz w:val="20"/>
          <w:szCs w:val="20"/>
        </w:rPr>
        <w:t xml:space="preserve">wykonawczych do ustawy </w:t>
      </w:r>
      <w:proofErr w:type="spellStart"/>
      <w:r w:rsidRPr="00465C86">
        <w:rPr>
          <w:color w:val="000000"/>
          <w:spacing w:val="-11"/>
          <w:sz w:val="20"/>
          <w:szCs w:val="20"/>
        </w:rPr>
        <w:t>Pzp</w:t>
      </w:r>
      <w:proofErr w:type="spellEnd"/>
      <w:r w:rsidRPr="00465C86">
        <w:rPr>
          <w:color w:val="000000"/>
          <w:spacing w:val="-11"/>
          <w:sz w:val="20"/>
          <w:szCs w:val="20"/>
        </w:rPr>
        <w:t xml:space="preserve"> - Rozporządzenie Prezesa Rady Ministrów z dnia 26 lipca 2016 r. </w:t>
      </w:r>
      <w:r w:rsidRPr="00465C86">
        <w:rPr>
          <w:color w:val="000000"/>
          <w:spacing w:val="-9"/>
          <w:sz w:val="20"/>
          <w:szCs w:val="20"/>
        </w:rPr>
        <w:t xml:space="preserve">(Dz. U. z 2016r. poz. 1126) w sprawie rodzajów dokumentów, jakich może żądać zamawiający </w:t>
      </w:r>
      <w:r w:rsidRPr="00465C86">
        <w:rPr>
          <w:color w:val="000000"/>
          <w:spacing w:val="-8"/>
          <w:sz w:val="20"/>
          <w:szCs w:val="20"/>
        </w:rPr>
        <w:t xml:space="preserve">od wykonawcy w postępowaniu o udzielenie zamówienia oraz niniejszej Specyfikacji Istotnych </w:t>
      </w:r>
      <w:r w:rsidRPr="00465C86">
        <w:rPr>
          <w:color w:val="000000"/>
          <w:sz w:val="20"/>
          <w:szCs w:val="20"/>
        </w:rPr>
        <w:t>Warunków Zamówienia – zwaną dalej „SIWZ”.</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 xml:space="preserve">Szacunkowa wartość zamówienia publicznego nie przekracza równowartości kwoty 209 000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Pr="00465C86">
        <w:rPr>
          <w:rFonts w:eastAsia="MS Mincho"/>
          <w:b/>
          <w:bCs/>
          <w:sz w:val="20"/>
          <w:szCs w:val="20"/>
        </w:rPr>
        <w:t xml:space="preserve"> w sezonie 2016/2017</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90.61.20.00-6</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powiatowych w sezonie zimowym 2016/2017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Pr>
          <w:b/>
          <w:bCs/>
          <w:sz w:val="20"/>
          <w:szCs w:val="20"/>
        </w:rPr>
        <w:t>wej) w sezonie 2016/2017</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lastRenderedPageBreak/>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w:t>
      </w:r>
      <w:r w:rsidR="002D1E73">
        <w:rPr>
          <w:spacing w:val="-8"/>
          <w:sz w:val="20"/>
          <w:szCs w:val="20"/>
        </w:rPr>
        <w:t>awcy stanowi załącznik nr 6</w:t>
      </w:r>
      <w:r w:rsidRPr="00757174">
        <w:rPr>
          <w:spacing w:val="-8"/>
          <w:sz w:val="20"/>
          <w:szCs w:val="20"/>
        </w:rPr>
        <w:t xml:space="preserve">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w:t>
      </w:r>
      <w:r w:rsidR="002D1E73">
        <w:rPr>
          <w:b/>
          <w:bCs/>
          <w:spacing w:val="-8"/>
          <w:sz w:val="20"/>
          <w:szCs w:val="20"/>
        </w:rPr>
        <w:t>enia zgodnie z załącznikiem nr 6</w:t>
      </w:r>
      <w:r w:rsidRPr="00757174">
        <w:rPr>
          <w:b/>
          <w:bCs/>
          <w:spacing w:val="-8"/>
          <w:sz w:val="20"/>
          <w:szCs w:val="20"/>
        </w:rPr>
        <w:t xml:space="preserve">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Zamawiający wymaga aby Wykonawca przygotował </w:t>
      </w:r>
      <w:r>
        <w:rPr>
          <w:spacing w:val="-8"/>
          <w:sz w:val="20"/>
          <w:szCs w:val="20"/>
        </w:rPr>
        <w:lastRenderedPageBreak/>
        <w:t>mieszankę</w:t>
      </w:r>
      <w:r w:rsidRPr="00193272">
        <w:rPr>
          <w:spacing w:val="-8"/>
          <w:sz w:val="20"/>
          <w:szCs w:val="20"/>
        </w:rPr>
        <w:t xml:space="preserve"> piasku z solą w stosunku 4:1 w</w:t>
      </w:r>
      <w:r>
        <w:rPr>
          <w:spacing w:val="-8"/>
          <w:sz w:val="20"/>
          <w:szCs w:val="20"/>
        </w:rPr>
        <w:t xml:space="preserve"> ilości szacunkowej około 60</w:t>
      </w:r>
      <w:r w:rsidRPr="00193272">
        <w:rPr>
          <w:spacing w:val="-8"/>
          <w:sz w:val="20"/>
          <w:szCs w:val="20"/>
        </w:rPr>
        <w:t xml:space="preserve"> Mg z zabezpieczeniem pryzm folią i składowaniem gotowej mieszanki (Zamawiający podczas niesprzyjających warunków pogodowych może zażądać od Wykonawcy dodatkowego przygotowania mieszanki piasku z solą, natomiast w sytua</w:t>
      </w:r>
      <w:r>
        <w:rPr>
          <w:spacing w:val="-8"/>
          <w:sz w:val="20"/>
          <w:szCs w:val="20"/>
        </w:rPr>
        <w:t xml:space="preserve">cji gdzie zima będzie łagodna a </w:t>
      </w:r>
      <w:r w:rsidRPr="00193272">
        <w:rPr>
          <w:spacing w:val="-8"/>
          <w:sz w:val="20"/>
          <w:szCs w:val="20"/>
        </w:rPr>
        <w:t>zmagazynowany materiał nie zostanie wykorzystany nie będzie to żadną podstawą do roszczenia ze strony Wykonawcy)</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xml:space="preserve">- zapewnienia kompleksowej obsługi zimowego utrzymania dróg powiatowych w sezonie zimowym 2015/2016, </w:t>
      </w:r>
    </w:p>
    <w:p w:rsidR="00757174" w:rsidRPr="00757174" w:rsidRDefault="00757174" w:rsidP="00582782">
      <w:pPr>
        <w:ind w:left="284"/>
        <w:jc w:val="both"/>
        <w:rPr>
          <w:spacing w:val="-8"/>
          <w:sz w:val="20"/>
          <w:szCs w:val="20"/>
        </w:rPr>
      </w:pPr>
      <w:r w:rsidRPr="00757174">
        <w:rPr>
          <w:spacing w:val="-8"/>
          <w:sz w:val="20"/>
          <w:szCs w:val="20"/>
        </w:rPr>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t>
      </w:r>
      <w:r w:rsidR="00DC6C03">
        <w:rPr>
          <w:spacing w:val="-8"/>
          <w:sz w:val="20"/>
          <w:szCs w:val="20"/>
        </w:rPr>
        <w:t>zgodnie z zadeklarowanym w ofercie terminie</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przygotowania w 100% oraz przedst</w:t>
      </w:r>
      <w:r w:rsidR="002D1E73">
        <w:rPr>
          <w:bCs/>
          <w:spacing w:val="-8"/>
          <w:sz w:val="20"/>
          <w:szCs w:val="20"/>
        </w:rPr>
        <w:t>awienia Zamawiającemu w ciągu 5</w:t>
      </w:r>
      <w:r w:rsidRPr="00757174">
        <w:rPr>
          <w:bCs/>
          <w:spacing w:val="-8"/>
          <w:sz w:val="20"/>
          <w:szCs w:val="20"/>
        </w:rPr>
        <w:t xml:space="preserve"> dni od daty podpisania umowy sprzętu oraz baz materiałowych, którymi będzie dysponował Wykonawca podczas realizacji zamówienia zgodnie z wymaganiami Zamawiającego zawartymi w SIWZ. </w:t>
      </w:r>
    </w:p>
    <w:p w:rsidR="00757174" w:rsidRPr="00757174" w:rsidRDefault="00181FAE" w:rsidP="00582782">
      <w:pPr>
        <w:ind w:left="284"/>
        <w:jc w:val="both"/>
        <w:rPr>
          <w:spacing w:val="-8"/>
          <w:sz w:val="20"/>
          <w:szCs w:val="20"/>
        </w:rPr>
      </w:pPr>
      <w:r>
        <w:rPr>
          <w:bCs/>
          <w:spacing w:val="-8"/>
          <w:sz w:val="20"/>
          <w:szCs w:val="20"/>
        </w:rPr>
        <w:t>- informowanie Zamawiającego z 1</w:t>
      </w:r>
      <w:r w:rsidR="00757174" w:rsidRPr="00757174">
        <w:rPr>
          <w:bCs/>
          <w:spacing w:val="-8"/>
          <w:sz w:val="20"/>
          <w:szCs w:val="20"/>
        </w:rPr>
        <w:t xml:space="preserve"> tygodniowym wyprzedze</w:t>
      </w:r>
      <w:r>
        <w:rPr>
          <w:bCs/>
          <w:spacing w:val="-8"/>
          <w:sz w:val="20"/>
          <w:szCs w:val="20"/>
        </w:rPr>
        <w:t>niem o konieczności uzupełnienia</w:t>
      </w:r>
      <w:r w:rsidR="00757174" w:rsidRPr="00757174">
        <w:rPr>
          <w:bCs/>
          <w:spacing w:val="-8"/>
          <w:sz w:val="20"/>
          <w:szCs w:val="20"/>
        </w:rPr>
        <w:t xml:space="preserve">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Pr="00465C86">
        <w:rPr>
          <w:b/>
          <w:color w:val="000000"/>
          <w:sz w:val="20"/>
          <w:szCs w:val="20"/>
        </w:rPr>
        <w:t>2017</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lastRenderedPageBreak/>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lastRenderedPageBreak/>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lastRenderedPageBreak/>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w:t>
      </w:r>
      <w:r w:rsidRPr="00E8773B">
        <w:rPr>
          <w:color w:val="000000"/>
          <w:spacing w:val="-1"/>
          <w:sz w:val="20"/>
          <w:szCs w:val="20"/>
        </w:rPr>
        <w:lastRenderedPageBreak/>
        <w:t xml:space="preserve">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6"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7"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8"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9"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0"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w:t>
      </w:r>
      <w:r w:rsidRPr="00E8773B">
        <w:rPr>
          <w:color w:val="000000"/>
          <w:spacing w:val="-7"/>
          <w:sz w:val="20"/>
          <w:szCs w:val="20"/>
        </w:rPr>
        <w:lastRenderedPageBreak/>
        <w:t xml:space="preserve">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1"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2"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3"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lastRenderedPageBreak/>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bookmarkStart w:id="0" w:name="_GoBack"/>
      <w:bookmarkEnd w:id="0"/>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 dróg powiatowych w sezonie 2016/2017</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DD6818">
        <w:rPr>
          <w:rFonts w:ascii="Calibri" w:hAnsi="Calibri"/>
          <w:b/>
          <w:bCs/>
          <w:sz w:val="22"/>
          <w:szCs w:val="22"/>
        </w:rPr>
        <w:t>24</w:t>
      </w:r>
      <w:r w:rsidRPr="001F5401">
        <w:rPr>
          <w:rFonts w:ascii="Calibri" w:hAnsi="Calibri"/>
          <w:b/>
          <w:bCs/>
          <w:sz w:val="22"/>
          <w:szCs w:val="22"/>
        </w:rPr>
        <w:t>.10.2016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lastRenderedPageBreak/>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9448B8">
        <w:rPr>
          <w:b/>
          <w:spacing w:val="-4"/>
          <w:sz w:val="20"/>
          <w:szCs w:val="20"/>
        </w:rPr>
        <w:t>24.10.2016r.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9448B8">
        <w:rPr>
          <w:b/>
          <w:spacing w:val="-6"/>
          <w:sz w:val="20"/>
          <w:szCs w:val="18"/>
        </w:rPr>
        <w:t xml:space="preserve">  24</w:t>
      </w:r>
      <w:r w:rsidRPr="00484E10">
        <w:rPr>
          <w:b/>
          <w:spacing w:val="-6"/>
          <w:sz w:val="20"/>
          <w:szCs w:val="18"/>
        </w:rPr>
        <w:t>.10.2016r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lastRenderedPageBreak/>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3E3C06" w:rsidP="003C120C">
      <w:pPr>
        <w:numPr>
          <w:ilvl w:val="0"/>
          <w:numId w:val="3"/>
        </w:numPr>
        <w:jc w:val="both"/>
        <w:rPr>
          <w:b/>
          <w:sz w:val="20"/>
          <w:szCs w:val="20"/>
        </w:rPr>
      </w:pPr>
      <w:r w:rsidRPr="00140D6B">
        <w:rPr>
          <w:b/>
          <w:sz w:val="20"/>
          <w:szCs w:val="20"/>
        </w:rPr>
        <w:t xml:space="preserve">Termin podstawienia sprzętu w razie awarii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Opis kryterium „Termin podstawienia sprzętu </w:t>
      </w:r>
      <w:r w:rsidRPr="00F97365">
        <w:rPr>
          <w:sz w:val="20"/>
        </w:rPr>
        <w:t>w razie awarii”</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Pr="00F97365">
        <w:rPr>
          <w:b/>
          <w:sz w:val="20"/>
        </w:rPr>
        <w:t xml:space="preserve">Termin podstawienia sprzętu </w:t>
      </w:r>
      <w:r w:rsidRPr="00F97365">
        <w:rPr>
          <w:b/>
          <w:sz w:val="22"/>
        </w:rPr>
        <w:t>w razie awarii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Pr="00F97365">
        <w:rPr>
          <w:b/>
          <w:sz w:val="20"/>
        </w:rPr>
        <w:t xml:space="preserve">Termin podstawienia </w:t>
      </w:r>
      <w:r>
        <w:rPr>
          <w:b/>
        </w:rPr>
        <w:t xml:space="preserve"> </w:t>
      </w:r>
      <w:r w:rsidRPr="00F97365">
        <w:rPr>
          <w:b/>
          <w:sz w:val="20"/>
        </w:rPr>
        <w:t>sprzętu</w:t>
      </w:r>
      <w:r w:rsidRPr="00F97365">
        <w:rPr>
          <w:sz w:val="20"/>
        </w:rPr>
        <w:t xml:space="preserve"> </w:t>
      </w:r>
      <w:r w:rsidRPr="00F97365">
        <w:rPr>
          <w:b/>
          <w:sz w:val="20"/>
        </w:rPr>
        <w:t>w razie awarii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 za wskazanie w ofercie   </w:t>
      </w:r>
      <w:r w:rsidRPr="003911D0">
        <w:rPr>
          <w:b/>
          <w:sz w:val="18"/>
        </w:rPr>
        <w:t xml:space="preserve">do 65 min </w:t>
      </w:r>
      <w:r>
        <w:rPr>
          <w:b/>
          <w:sz w:val="18"/>
        </w:rPr>
        <w:t xml:space="preserve">                   </w:t>
      </w:r>
      <w:r w:rsidRPr="003911D0">
        <w:rPr>
          <w:sz w:val="18"/>
        </w:rPr>
        <w:t xml:space="preserve">przyznane zostanie   </w:t>
      </w:r>
      <w:r w:rsidRPr="003911D0">
        <w:rPr>
          <w:b/>
          <w:sz w:val="18"/>
        </w:rPr>
        <w:t>40,00 pkt,</w:t>
      </w:r>
    </w:p>
    <w:p w:rsidR="003E3C06" w:rsidRPr="003911D0" w:rsidRDefault="003E3C06" w:rsidP="003E3C06">
      <w:pPr>
        <w:rPr>
          <w:sz w:val="18"/>
        </w:rPr>
      </w:pPr>
      <w:r w:rsidRPr="003911D0">
        <w:rPr>
          <w:sz w:val="18"/>
        </w:rPr>
        <w:t xml:space="preserve">     - za wskazanie w ofercie   </w:t>
      </w:r>
      <w:r w:rsidRPr="003911D0">
        <w:rPr>
          <w:b/>
          <w:sz w:val="18"/>
        </w:rPr>
        <w:t>od  66 min do 70 min</w:t>
      </w:r>
      <w:r w:rsidRPr="003911D0">
        <w:rPr>
          <w:sz w:val="18"/>
        </w:rPr>
        <w:t xml:space="preserve">  przyznane zostanie   </w:t>
      </w:r>
      <w:r w:rsidRPr="003911D0">
        <w:rPr>
          <w:b/>
          <w:sz w:val="18"/>
        </w:rPr>
        <w:t>30,00 pkt,</w:t>
      </w:r>
    </w:p>
    <w:p w:rsidR="003E3C06" w:rsidRPr="003911D0" w:rsidRDefault="003E3C06" w:rsidP="003E3C06">
      <w:pPr>
        <w:rPr>
          <w:sz w:val="18"/>
        </w:rPr>
      </w:pPr>
      <w:r w:rsidRPr="003911D0">
        <w:rPr>
          <w:sz w:val="18"/>
        </w:rPr>
        <w:t xml:space="preserve">     - za wskazanie w ofercie   </w:t>
      </w:r>
      <w:r w:rsidRPr="003911D0">
        <w:rPr>
          <w:b/>
          <w:sz w:val="18"/>
        </w:rPr>
        <w:t>od  71 min do 75 min</w:t>
      </w:r>
      <w:r w:rsidRPr="003911D0">
        <w:rPr>
          <w:sz w:val="18"/>
        </w:rPr>
        <w:t xml:space="preserve">  przyznane zostanie   </w:t>
      </w:r>
      <w:r w:rsidRPr="003911D0">
        <w:rPr>
          <w:b/>
          <w:sz w:val="18"/>
        </w:rPr>
        <w:t>20,00 pkt,</w:t>
      </w:r>
      <w:r w:rsidRPr="003911D0">
        <w:rPr>
          <w:sz w:val="18"/>
        </w:rPr>
        <w:t xml:space="preserve"> </w:t>
      </w:r>
    </w:p>
    <w:p w:rsidR="003E3C06" w:rsidRPr="003911D0" w:rsidRDefault="003E3C06" w:rsidP="003E3C06">
      <w:pPr>
        <w:rPr>
          <w:sz w:val="18"/>
        </w:rPr>
      </w:pPr>
      <w:r w:rsidRPr="003911D0">
        <w:rPr>
          <w:sz w:val="18"/>
        </w:rPr>
        <w:t xml:space="preserve">     - za wskazanie w ofercie   </w:t>
      </w:r>
      <w:r w:rsidRPr="003911D0">
        <w:rPr>
          <w:b/>
          <w:sz w:val="18"/>
        </w:rPr>
        <w:t>od  76 min do 80 min</w:t>
      </w:r>
      <w:r w:rsidRPr="003911D0">
        <w:rPr>
          <w:sz w:val="18"/>
        </w:rPr>
        <w:t xml:space="preserve">  przyznane zostanie   </w:t>
      </w:r>
      <w:r w:rsidRPr="003911D0">
        <w:rPr>
          <w:b/>
          <w:sz w:val="18"/>
        </w:rPr>
        <w:t>10,00 pkt,</w:t>
      </w:r>
    </w:p>
    <w:p w:rsidR="003E3C06" w:rsidRPr="003911D0" w:rsidRDefault="003E3C06" w:rsidP="003E3C06">
      <w:pPr>
        <w:rPr>
          <w:sz w:val="18"/>
        </w:rPr>
      </w:pPr>
      <w:r w:rsidRPr="003911D0">
        <w:rPr>
          <w:sz w:val="18"/>
        </w:rPr>
        <w:t xml:space="preserve">     - za wskazanie w ofercie   </w:t>
      </w:r>
      <w:r w:rsidRPr="003911D0">
        <w:rPr>
          <w:b/>
          <w:sz w:val="18"/>
        </w:rPr>
        <w:t>od  81 min do 85 min</w:t>
      </w:r>
      <w:r w:rsidRPr="003911D0">
        <w:rPr>
          <w:sz w:val="18"/>
        </w:rPr>
        <w:t xml:space="preserve">  przyznane zostanie     4</w:t>
      </w:r>
      <w:r w:rsidRPr="003911D0">
        <w:rPr>
          <w:b/>
          <w:sz w:val="18"/>
        </w:rPr>
        <w:t>,00 pkt,</w:t>
      </w:r>
    </w:p>
    <w:p w:rsidR="003E3C06" w:rsidRPr="003911D0" w:rsidRDefault="003E3C06" w:rsidP="003E3C06">
      <w:pPr>
        <w:rPr>
          <w:sz w:val="18"/>
        </w:rPr>
      </w:pPr>
      <w:r w:rsidRPr="003911D0">
        <w:rPr>
          <w:sz w:val="18"/>
        </w:rPr>
        <w:t xml:space="preserve">     - za wskazanie w ofercie   </w:t>
      </w:r>
      <w:r w:rsidRPr="003911D0">
        <w:rPr>
          <w:b/>
          <w:sz w:val="18"/>
        </w:rPr>
        <w:t>od  86 min do 90 min</w:t>
      </w:r>
      <w:r w:rsidRPr="003911D0">
        <w:rPr>
          <w:sz w:val="18"/>
        </w:rPr>
        <w:t xml:space="preserve">  przyznane zostanie     </w:t>
      </w:r>
      <w:r w:rsidRPr="003911D0">
        <w:rPr>
          <w:b/>
          <w:sz w:val="18"/>
        </w:rPr>
        <w:t>0,00 pkt</w:t>
      </w:r>
      <w:r w:rsidRPr="003911D0">
        <w:rPr>
          <w:sz w:val="18"/>
        </w:rPr>
        <w:t xml:space="preserve">, </w:t>
      </w:r>
    </w:p>
    <w:p w:rsidR="003E3C06" w:rsidRPr="003911D0" w:rsidRDefault="003E3C06" w:rsidP="003E3C06">
      <w:pPr>
        <w:rPr>
          <w:sz w:val="20"/>
        </w:rPr>
      </w:pPr>
    </w:p>
    <w:p w:rsidR="003E3C06" w:rsidRPr="00F97365" w:rsidRDefault="003E3C06" w:rsidP="003E3C06">
      <w:r w:rsidRPr="00F97365">
        <w:rPr>
          <w:sz w:val="20"/>
        </w:rPr>
        <w:t xml:space="preserve">   </w:t>
      </w:r>
      <w:r>
        <w:rPr>
          <w:sz w:val="20"/>
        </w:rPr>
        <w:t xml:space="preserve"> </w:t>
      </w:r>
      <w:r w:rsidRPr="00F97365">
        <w:rPr>
          <w:sz w:val="20"/>
        </w:rPr>
        <w:t xml:space="preserve"> Należy podać termin podstawienia sprzętu w razie awarii  </w:t>
      </w:r>
      <w:r w:rsidRPr="00F97365">
        <w:rPr>
          <w:b/>
          <w:sz w:val="20"/>
        </w:rPr>
        <w:t>w pełnych minutach.</w:t>
      </w:r>
      <w:r w:rsidRPr="00F97365">
        <w:t xml:space="preserve"> </w:t>
      </w:r>
    </w:p>
    <w:p w:rsidR="003E3C06" w:rsidRPr="00F97365" w:rsidRDefault="003E3C06" w:rsidP="003E3C06">
      <w:pPr>
        <w:rPr>
          <w:sz w:val="22"/>
        </w:rPr>
      </w:pPr>
    </w:p>
    <w:p w:rsidR="003E3C06" w:rsidRPr="00F97365" w:rsidRDefault="003E3C06" w:rsidP="003E3C06">
      <w:pPr>
        <w:ind w:left="284" w:hanging="284"/>
        <w:rPr>
          <w:b/>
          <w:sz w:val="20"/>
          <w:szCs w:val="18"/>
        </w:rPr>
      </w:pPr>
      <w:r w:rsidRPr="00F97365">
        <w:rPr>
          <w:b/>
          <w:sz w:val="20"/>
          <w:szCs w:val="18"/>
        </w:rPr>
        <w:t xml:space="preserve">  </w:t>
      </w:r>
      <w:r>
        <w:rPr>
          <w:b/>
          <w:sz w:val="20"/>
          <w:szCs w:val="18"/>
        </w:rPr>
        <w:t xml:space="preserve"> </w:t>
      </w:r>
      <w:r w:rsidRPr="00F97365">
        <w:rPr>
          <w:b/>
          <w:sz w:val="20"/>
          <w:szCs w:val="18"/>
        </w:rPr>
        <w:t xml:space="preserve">  Jeśli Wykonawca zaproponuje w formularzu oferty Termin podstawienia </w:t>
      </w:r>
      <w:r w:rsidRPr="003911D0">
        <w:rPr>
          <w:b/>
          <w:sz w:val="18"/>
          <w:szCs w:val="18"/>
        </w:rPr>
        <w:t>sprzętu w razie awarii</w:t>
      </w:r>
      <w:r w:rsidRPr="00F97365">
        <w:rPr>
          <w:sz w:val="22"/>
        </w:rPr>
        <w:t xml:space="preserve"> </w:t>
      </w:r>
      <w:r w:rsidRPr="00F97365">
        <w:rPr>
          <w:b/>
          <w:sz w:val="20"/>
          <w:szCs w:val="18"/>
        </w:rPr>
        <w:t xml:space="preserve">dłuższy niż 90 minut lub nie zostanie podany termin i z innych dokumentów nie będzie wynikało, że nastąpiła omyłka, oferta zostanie odrzucona, zgodnie </w:t>
      </w:r>
      <w:r w:rsidRPr="00484E10">
        <w:rPr>
          <w:b/>
          <w:sz w:val="20"/>
          <w:szCs w:val="18"/>
        </w:rPr>
        <w:t xml:space="preserve">z art. 89 ust. 1 pkt.2) </w:t>
      </w:r>
      <w:r w:rsidRPr="00F97365">
        <w:rPr>
          <w:b/>
          <w:sz w:val="20"/>
          <w:szCs w:val="18"/>
        </w:rPr>
        <w:t xml:space="preserve">ustawy </w:t>
      </w:r>
      <w:proofErr w:type="spellStart"/>
      <w:r w:rsidRPr="00F97365">
        <w:rPr>
          <w:b/>
          <w:sz w:val="20"/>
          <w:szCs w:val="18"/>
        </w:rPr>
        <w:t>Pzp</w:t>
      </w:r>
      <w:proofErr w:type="spellEnd"/>
      <w:r w:rsidRPr="00F97365">
        <w:rPr>
          <w:b/>
          <w:sz w:val="20"/>
          <w:szCs w:val="18"/>
        </w:rPr>
        <w: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lastRenderedPageBreak/>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kryterium „Termin podstawienia sprzętu </w:t>
      </w:r>
      <w:r w:rsidRPr="00F97365">
        <w:rPr>
          <w:sz w:val="22"/>
        </w:rPr>
        <w:t>w razie awarii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F97365" w:rsidRDefault="003E3C06" w:rsidP="003C120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p>
    <w:p w:rsidR="003E3C06" w:rsidRPr="00F97365" w:rsidRDefault="003E3C06" w:rsidP="003E3C06">
      <w:pPr>
        <w:pStyle w:val="Akapitzlist"/>
        <w:spacing w:line="276" w:lineRule="auto"/>
        <w:ind w:left="360"/>
        <w:rPr>
          <w:b/>
          <w:sz w:val="20"/>
          <w:szCs w:val="18"/>
        </w:rPr>
      </w:pPr>
      <w:r w:rsidRPr="00F97365">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lastRenderedPageBreak/>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3E3C06" w:rsidRDefault="003E3C06" w:rsidP="003E3C06">
      <w:pPr>
        <w:shd w:val="clear" w:color="auto" w:fill="FFFFFF"/>
        <w:tabs>
          <w:tab w:val="left" w:pos="2842"/>
        </w:tabs>
        <w:spacing w:before="394"/>
        <w:ind w:left="1134" w:hanging="1134"/>
        <w:rPr>
          <w:b/>
          <w:sz w:val="22"/>
        </w:rPr>
      </w:pPr>
    </w:p>
    <w:p w:rsidR="003E3C06" w:rsidRPr="008949D3" w:rsidRDefault="003E3C06" w:rsidP="003E3C06">
      <w:pPr>
        <w:shd w:val="clear" w:color="auto" w:fill="FFFFFF"/>
        <w:tabs>
          <w:tab w:val="left" w:pos="2842"/>
        </w:tabs>
        <w:spacing w:before="394"/>
        <w:ind w:left="1134" w:hanging="1134"/>
        <w:rPr>
          <w:b/>
          <w:sz w:val="22"/>
        </w:rPr>
      </w:pPr>
      <w:r w:rsidRPr="008949D3">
        <w:rPr>
          <w:b/>
          <w:sz w:val="22"/>
        </w:rPr>
        <w:t>XVIII.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lastRenderedPageBreak/>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3E3C06" w:rsidP="003E3C06">
      <w:pPr>
        <w:shd w:val="clear" w:color="auto" w:fill="FFFFFF"/>
        <w:spacing w:before="389"/>
        <w:ind w:left="709" w:right="5" w:hanging="709"/>
        <w:jc w:val="both"/>
        <w:rPr>
          <w:b/>
          <w:sz w:val="22"/>
        </w:rPr>
      </w:pPr>
      <w:r w:rsidRPr="00F97365">
        <w:rPr>
          <w:b/>
          <w:color w:val="000000"/>
          <w:sz w:val="22"/>
        </w:rPr>
        <w:t>XIX. POUCZENIE O ŚRODKACH OCHRONY PRAWNEJ PRZYSŁUGUJĄCYCH WYKONAWCY</w:t>
      </w:r>
      <w:r>
        <w:rPr>
          <w:b/>
          <w:color w:val="000000"/>
          <w:sz w:val="22"/>
        </w:rPr>
        <w:t xml:space="preserve">  </w:t>
      </w:r>
      <w:r w:rsidRPr="00F97365">
        <w:rPr>
          <w:b/>
          <w:color w:val="000000"/>
          <w:sz w:val="22"/>
        </w:rPr>
        <w:t xml:space="preserve">W </w:t>
      </w:r>
      <w:r>
        <w:rPr>
          <w:b/>
          <w:color w:val="000000"/>
          <w:sz w:val="22"/>
        </w:rPr>
        <w:t xml:space="preserve"> </w:t>
      </w:r>
      <w:r w:rsidRPr="00F97365">
        <w:rPr>
          <w:b/>
          <w:color w:val="000000"/>
          <w:sz w:val="22"/>
        </w:rPr>
        <w:t xml:space="preserve">TOKU </w:t>
      </w:r>
      <w:r>
        <w:rPr>
          <w:b/>
          <w:color w:val="000000"/>
          <w:sz w:val="22"/>
        </w:rPr>
        <w:t xml:space="preserve"> </w:t>
      </w:r>
      <w:r w:rsidRPr="00F97365">
        <w:rPr>
          <w:b/>
          <w:color w:val="000000"/>
          <w:sz w:val="22"/>
        </w:rPr>
        <w:t xml:space="preserve">POSTĘPOWANIA </w:t>
      </w:r>
      <w:r>
        <w:rPr>
          <w:b/>
          <w:color w:val="000000"/>
          <w:sz w:val="22"/>
        </w:rPr>
        <w:t xml:space="preserve"> </w:t>
      </w:r>
      <w:r w:rsidRPr="00F97365">
        <w:rPr>
          <w:b/>
          <w:color w:val="000000"/>
          <w:sz w:val="22"/>
        </w:rPr>
        <w:t>O</w:t>
      </w:r>
      <w:r>
        <w:rPr>
          <w:b/>
          <w:color w:val="000000"/>
          <w:sz w:val="22"/>
        </w:rPr>
        <w:t xml:space="preserve"> </w:t>
      </w:r>
      <w:r w:rsidRPr="00F97365">
        <w:rPr>
          <w:b/>
          <w:color w:val="000000"/>
          <w:sz w:val="22"/>
        </w:rPr>
        <w:t xml:space="preserve"> UDZIELENIE </w:t>
      </w:r>
      <w:r>
        <w:rPr>
          <w:b/>
          <w:color w:val="000000"/>
          <w:sz w:val="22"/>
        </w:rPr>
        <w:t xml:space="preserve"> </w:t>
      </w:r>
      <w:r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3C120C">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lastRenderedPageBreak/>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lastRenderedPageBreak/>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4"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SEZONIE  2016/2017</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 podstawienia sprzętu w razie awarii</w:t>
      </w:r>
    </w:p>
    <w:p w:rsidR="003E3C06" w:rsidRPr="001C28BE" w:rsidRDefault="003E3C06" w:rsidP="003E3C06">
      <w:pPr>
        <w:pStyle w:val="Tekstpodstawowy"/>
        <w:tabs>
          <w:tab w:val="left" w:pos="284"/>
        </w:tabs>
        <w:spacing w:after="80"/>
        <w:ind w:left="284"/>
        <w:rPr>
          <w:sz w:val="16"/>
          <w:szCs w:val="18"/>
        </w:rPr>
      </w:pPr>
    </w:p>
    <w:p w:rsidR="003E3C06" w:rsidRPr="00C24788" w:rsidRDefault="003E3C06" w:rsidP="003E3C06">
      <w:pPr>
        <w:pStyle w:val="Tekstpodstawowy"/>
        <w:tabs>
          <w:tab w:val="left" w:pos="284"/>
        </w:tabs>
        <w:spacing w:after="80"/>
        <w:ind w:left="284"/>
        <w:rPr>
          <w:sz w:val="20"/>
          <w:szCs w:val="22"/>
          <w:vertAlign w:val="superscript"/>
        </w:rPr>
      </w:pPr>
      <w:r w:rsidRPr="00C24788">
        <w:rPr>
          <w:sz w:val="20"/>
          <w:szCs w:val="22"/>
        </w:rPr>
        <w:t>Oferujemy podstawienie sprzętu w razie awarii w ciągu ………….. minut</w:t>
      </w:r>
      <w:r w:rsidRPr="00C24788">
        <w:rPr>
          <w:sz w:val="20"/>
          <w:szCs w:val="22"/>
          <w:vertAlign w:val="superscript"/>
        </w:rPr>
        <w:t xml:space="preserve">* </w:t>
      </w:r>
    </w:p>
    <w:p w:rsidR="003E3C06" w:rsidRPr="001C28BE" w:rsidRDefault="003E3C06" w:rsidP="003E3C06">
      <w:pPr>
        <w:pStyle w:val="Akapitzlist"/>
        <w:ind w:left="567" w:hanging="283"/>
        <w:rPr>
          <w:sz w:val="16"/>
          <w:szCs w:val="22"/>
          <w:vertAlign w:val="superscript"/>
        </w:rPr>
      </w:pPr>
    </w:p>
    <w:p w:rsidR="003E3C06" w:rsidRPr="00A005CE" w:rsidRDefault="003E3C06" w:rsidP="003E3C06">
      <w:pPr>
        <w:pStyle w:val="Akapitzlist"/>
        <w:ind w:left="567" w:hanging="283"/>
        <w:rPr>
          <w:sz w:val="18"/>
          <w:szCs w:val="22"/>
        </w:rPr>
      </w:pPr>
      <w:r w:rsidRPr="00A005CE">
        <w:rPr>
          <w:sz w:val="18"/>
          <w:szCs w:val="22"/>
          <w:vertAlign w:val="superscript"/>
        </w:rPr>
        <w:t xml:space="preserve">*  </w:t>
      </w:r>
      <w:r w:rsidRPr="00A005CE">
        <w:rPr>
          <w:sz w:val="18"/>
          <w:szCs w:val="22"/>
        </w:rPr>
        <w:t>Należy podać termin podstawienia sprzętu  w pełnych minutach.</w:t>
      </w:r>
    </w:p>
    <w:p w:rsidR="003E3C06" w:rsidRPr="00A005CE" w:rsidRDefault="003E3C06" w:rsidP="003E3C06">
      <w:pPr>
        <w:pStyle w:val="Akapitzlist"/>
        <w:ind w:left="567" w:hanging="141"/>
        <w:rPr>
          <w:sz w:val="22"/>
          <w:szCs w:val="22"/>
        </w:rPr>
      </w:pPr>
    </w:p>
    <w:p w:rsidR="003E3C06" w:rsidRPr="00A005CE" w:rsidRDefault="003E3C06" w:rsidP="003E3C06">
      <w:pPr>
        <w:pStyle w:val="Akapitzlist"/>
        <w:ind w:left="1560" w:hanging="1276"/>
        <w:rPr>
          <w:sz w:val="20"/>
          <w:szCs w:val="22"/>
        </w:rPr>
      </w:pPr>
      <w:r w:rsidRPr="00A005CE">
        <w:rPr>
          <w:sz w:val="20"/>
          <w:szCs w:val="22"/>
        </w:rPr>
        <w:t xml:space="preserve">UWAGA!    </w:t>
      </w:r>
      <w:r>
        <w:rPr>
          <w:sz w:val="20"/>
          <w:szCs w:val="22"/>
        </w:rPr>
        <w:t xml:space="preserve">     </w:t>
      </w:r>
      <w:r w:rsidRPr="00A005CE">
        <w:rPr>
          <w:sz w:val="20"/>
          <w:szCs w:val="22"/>
        </w:rPr>
        <w:t xml:space="preserve">Najkrótszy możliwy termin podstawienia sprzętu w razie awarii  – 60 minut                                                 </w:t>
      </w:r>
      <w:r>
        <w:rPr>
          <w:sz w:val="20"/>
          <w:szCs w:val="22"/>
        </w:rPr>
        <w:t xml:space="preserve">    </w:t>
      </w:r>
      <w:r w:rsidRPr="00A005CE">
        <w:rPr>
          <w:sz w:val="20"/>
          <w:szCs w:val="22"/>
        </w:rPr>
        <w:t xml:space="preserve">Najdłuższy możliwy termin podstawienia sprzętu  w razie awarii – 90 minut                   </w:t>
      </w:r>
    </w:p>
    <w:p w:rsidR="003E3C06" w:rsidRPr="001C3E06" w:rsidRDefault="003E3C06" w:rsidP="003E3C06">
      <w:pPr>
        <w:pStyle w:val="Akapitzlist"/>
        <w:ind w:left="567" w:hanging="141"/>
      </w:pPr>
    </w:p>
    <w:p w:rsidR="003E3C06" w:rsidRPr="001C28BE" w:rsidRDefault="003E3C06" w:rsidP="003E3C06">
      <w:pPr>
        <w:pStyle w:val="Akapitzlist"/>
        <w:ind w:left="142" w:hanging="142"/>
        <w:rPr>
          <w:b/>
          <w:sz w:val="18"/>
          <w:szCs w:val="20"/>
        </w:rPr>
      </w:pPr>
      <w:r w:rsidRPr="001C28BE">
        <w:rPr>
          <w:sz w:val="18"/>
          <w:szCs w:val="20"/>
        </w:rPr>
        <w:t xml:space="preserve">   </w:t>
      </w:r>
      <w:r w:rsidRPr="001C28BE">
        <w:rPr>
          <w:b/>
          <w:sz w:val="18"/>
          <w:szCs w:val="20"/>
        </w:rPr>
        <w:t>Jeśli Wykonawca zaproponuje w formularzu oferty Termin podstawienia sprzętu w ra</w:t>
      </w:r>
      <w:r w:rsidR="00D05E68">
        <w:rPr>
          <w:b/>
          <w:sz w:val="18"/>
          <w:szCs w:val="20"/>
        </w:rPr>
        <w:t>zie awarii dłuższy niż 90 minut</w:t>
      </w:r>
      <w:r w:rsidRPr="001C28BE">
        <w:rPr>
          <w:b/>
          <w:sz w:val="18"/>
          <w:szCs w:val="20"/>
        </w:rPr>
        <w:t xml:space="preserve"> lub nie zostanie podany termin i z innych dokumentów nie będzie wynikało, że nastąpiła omyłka, oferta zostanie odrzucona, zgodnie z art. 89 ust. 1 pkt.2) ustawy </w:t>
      </w:r>
      <w:proofErr w:type="spellStart"/>
      <w:r w:rsidRPr="001C28BE">
        <w:rPr>
          <w:b/>
          <w:sz w:val="18"/>
          <w:szCs w:val="20"/>
        </w:rPr>
        <w:t>Pzp</w:t>
      </w:r>
      <w:proofErr w:type="spellEnd"/>
    </w:p>
    <w:p w:rsidR="003E3C06" w:rsidRDefault="003E3C06" w:rsidP="003E3C06">
      <w:pPr>
        <w:pStyle w:val="Akapitzlist"/>
        <w:ind w:left="142" w:hanging="142"/>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Pr="00C24788">
        <w:rPr>
          <w:rFonts w:ascii="Times New Roman" w:hAnsi="Times New Roman"/>
          <w:b/>
          <w:bCs/>
          <w:sz w:val="20"/>
          <w:szCs w:val="22"/>
        </w:rPr>
        <w:t>30.04.2017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lastRenderedPageBreak/>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3E3C06">
      <w:pPr>
        <w:jc w:val="right"/>
        <w:rPr>
          <w:bCs/>
          <w:sz w:val="22"/>
          <w:szCs w:val="22"/>
        </w:rPr>
      </w:pPr>
    </w:p>
    <w:p w:rsidR="00DC6C03" w:rsidRDefault="00DC6C03" w:rsidP="003E3C06">
      <w:pPr>
        <w:jc w:val="right"/>
        <w:rPr>
          <w:bCs/>
          <w:sz w:val="22"/>
          <w:szCs w:val="22"/>
        </w:rPr>
      </w:pPr>
    </w:p>
    <w:p w:rsidR="00DC6C03" w:rsidRDefault="00DC6C03" w:rsidP="003E3C06">
      <w:pPr>
        <w:jc w:val="right"/>
        <w:rPr>
          <w:bCs/>
          <w:sz w:val="22"/>
          <w:szCs w:val="22"/>
        </w:rPr>
      </w:pPr>
    </w:p>
    <w:p w:rsidR="00DC6C03" w:rsidRDefault="00DC6C03" w:rsidP="003E3C06">
      <w:pPr>
        <w:jc w:val="right"/>
        <w:rPr>
          <w:bCs/>
          <w:sz w:val="22"/>
          <w:szCs w:val="22"/>
        </w:rPr>
      </w:pPr>
    </w:p>
    <w:p w:rsidR="00DC6C03" w:rsidRDefault="00DC6C03" w:rsidP="003E3C06">
      <w:pPr>
        <w:jc w:val="right"/>
        <w:rPr>
          <w:bCs/>
          <w:sz w:val="22"/>
          <w:szCs w:val="22"/>
        </w:rPr>
      </w:pPr>
    </w:p>
    <w:p w:rsidR="00DC6C03" w:rsidRDefault="00DC6C03" w:rsidP="003E3C06">
      <w:pPr>
        <w:jc w:val="right"/>
        <w:rPr>
          <w:bCs/>
          <w:sz w:val="22"/>
          <w:szCs w:val="22"/>
        </w:rPr>
      </w:pPr>
    </w:p>
    <w:p w:rsidR="003E3C06" w:rsidRPr="001B104F" w:rsidRDefault="003E3C06" w:rsidP="003E3C06">
      <w:pPr>
        <w:jc w:val="right"/>
        <w:rPr>
          <w:bCs/>
        </w:rPr>
      </w:pPr>
      <w:r w:rsidRPr="001B104F">
        <w:rPr>
          <w:bCs/>
          <w:sz w:val="22"/>
          <w:szCs w:val="22"/>
        </w:rPr>
        <w:t>Załącznik nr 3 do SIWZ</w:t>
      </w:r>
    </w:p>
    <w:p w:rsidR="003E3C06" w:rsidRDefault="003E3C06" w:rsidP="003E3C06">
      <w:pPr>
        <w:rPr>
          <w:b/>
          <w:bCs/>
        </w:rPr>
      </w:pPr>
    </w:p>
    <w:p w:rsidR="003E3C06" w:rsidRDefault="003E3C06" w:rsidP="003E3C06">
      <w:pPr>
        <w:rPr>
          <w:b/>
          <w:bCs/>
        </w:rPr>
      </w:pPr>
      <w:r>
        <w:rPr>
          <w:b/>
          <w:bCs/>
        </w:rPr>
        <w:lastRenderedPageBreak/>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Pr="001236EE">
        <w:rPr>
          <w:rFonts w:ascii="Arial" w:hAnsi="Arial" w:cs="Arial"/>
          <w:b/>
          <w:sz w:val="18"/>
        </w:rPr>
        <w:t xml:space="preserve"> w sezonie 2016/2017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lastRenderedPageBreak/>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lastRenderedPageBreak/>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lastRenderedPageBreak/>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Pr="006D6993">
        <w:rPr>
          <w:rFonts w:ascii="Arial" w:hAnsi="Arial" w:cs="Arial"/>
          <w:b/>
          <w:sz w:val="20"/>
          <w:szCs w:val="20"/>
        </w:rPr>
        <w:t xml:space="preserve"> w sezonie 2016/2017</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lastRenderedPageBreak/>
        <w:t xml:space="preserve">Załącznik nr </w:t>
      </w:r>
      <w:r w:rsidR="00DC6C03">
        <w:rPr>
          <w:noProof/>
          <w:sz w:val="22"/>
          <w:szCs w:val="22"/>
          <w:lang w:eastAsia="pl-PL" w:bidi="ar-SA"/>
        </w:rPr>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51 -243 -51 21357 21651 21357 21651 -243 -51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DC6C03" w:rsidRDefault="00DC6C03" w:rsidP="003E3C06">
                  <w:pPr>
                    <w:ind w:right="-177"/>
                    <w:jc w:val="center"/>
                    <w:rPr>
                      <w:rFonts w:ascii="Verdana" w:hAnsi="Verdana" w:cs="Verdana"/>
                      <w:b/>
                    </w:rPr>
                  </w:pPr>
                </w:p>
                <w:p w:rsidR="00DC6C03" w:rsidRDefault="00DC6C03"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DC6C03" w:rsidRDefault="00DC6C03"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w:r>
      <w:r w:rsidR="00DC6C03">
        <w:rPr>
          <w:noProof/>
          <w:sz w:val="22"/>
          <w:szCs w:val="22"/>
          <w:lang w:eastAsia="pl-PL" w:bidi="ar-SA"/>
        </w:rPr>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wrapcoords="-99 -243 -99 21357 21699 21357 21699 -243 -99 -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DC6C03" w:rsidRDefault="00DC6C03" w:rsidP="003E3C06">
                  <w:pPr>
                    <w:jc w:val="center"/>
                    <w:rPr>
                      <w:i/>
                      <w:sz w:val="18"/>
                    </w:rPr>
                  </w:pPr>
                </w:p>
                <w:p w:rsidR="00DC6C03" w:rsidRDefault="00DC6C03" w:rsidP="003E3C06">
                  <w:pPr>
                    <w:jc w:val="center"/>
                    <w:rPr>
                      <w:i/>
                      <w:sz w:val="18"/>
                    </w:rPr>
                  </w:pPr>
                </w:p>
                <w:p w:rsidR="00DC6C03" w:rsidRDefault="00DC6C03" w:rsidP="003E3C06">
                  <w:pPr>
                    <w:jc w:val="center"/>
                    <w:rPr>
                      <w:i/>
                      <w:sz w:val="18"/>
                    </w:rPr>
                  </w:pPr>
                </w:p>
                <w:p w:rsidR="00DC6C03" w:rsidRDefault="00DC6C03" w:rsidP="003E3C06">
                  <w:pPr>
                    <w:jc w:val="center"/>
                    <w:rPr>
                      <w:rFonts w:ascii="Verdana" w:hAnsi="Verdana" w:cs="Verdana"/>
                      <w:i/>
                      <w:sz w:val="16"/>
                      <w:szCs w:val="16"/>
                    </w:rPr>
                  </w:pPr>
                </w:p>
                <w:p w:rsidR="00DC6C03" w:rsidRDefault="00DC6C03" w:rsidP="003E3C06">
                  <w:pPr>
                    <w:jc w:val="center"/>
                  </w:pPr>
                  <w:r>
                    <w:rPr>
                      <w:rFonts w:ascii="Verdana" w:hAnsi="Verdana" w:cs="Verdana"/>
                      <w:i/>
                      <w:sz w:val="14"/>
                      <w:szCs w:val="14"/>
                    </w:rPr>
                    <w:t>(nazwa Wykonawcy)</w:t>
                  </w:r>
                </w:p>
              </w:txbxContent>
            </v:textbox>
            <w10:wrap type="tight"/>
          </v:shape>
        </w:pic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Pr="006D6993">
        <w:rPr>
          <w:rFonts w:ascii="Times New Roman" w:hAnsi="Times New Roman" w:cs="Times New Roman"/>
          <w:b/>
          <w:szCs w:val="20"/>
        </w:rPr>
        <w:t xml:space="preserve"> w sezonie 2016/2017</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__________________ dnia __ __ 2016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lastRenderedPageBreak/>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2016/2017</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bl>
    <w:p w:rsidR="00D76430" w:rsidRPr="00D76430" w:rsidRDefault="00D76430" w:rsidP="00D76430">
      <w:pPr>
        <w:jc w:val="both"/>
        <w:rPr>
          <w:rFonts w:ascii="Calibri" w:hAnsi="Calibri"/>
          <w:sz w:val="22"/>
          <w:szCs w:val="22"/>
        </w:rPr>
      </w:pPr>
    </w:p>
    <w:p w:rsidR="002D1E73" w:rsidRDefault="002D1E73" w:rsidP="002D1E73">
      <w:pPr>
        <w:rPr>
          <w:rFonts w:ascii="Arial" w:hAnsi="Arial" w:cs="Arial"/>
          <w:sz w:val="20"/>
          <w:szCs w:val="20"/>
        </w:rPr>
      </w:pPr>
      <w:r>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2D1E73" w:rsidRDefault="002D1E73" w:rsidP="002D1E73">
      <w:pPr>
        <w:pStyle w:val="Zwykytekst"/>
        <w:autoSpaceDE w:val="0"/>
        <w:autoSpaceDN w:val="0"/>
        <w:adjustRightInd w:val="0"/>
        <w:rPr>
          <w:rFonts w:ascii="Arial" w:hAnsi="Arial" w:cs="Arial"/>
          <w:color w:val="FF0000"/>
        </w:rPr>
      </w:pPr>
    </w:p>
    <w:p w:rsidR="002D1E73" w:rsidRDefault="002D1E73" w:rsidP="002D1E73">
      <w:pPr>
        <w:pStyle w:val="Zwykytekst"/>
        <w:autoSpaceDE w:val="0"/>
        <w:autoSpaceDN w:val="0"/>
        <w:adjustRightInd w:val="0"/>
        <w:rPr>
          <w:rFonts w:ascii="Arial" w:hAnsi="Arial" w:cs="Arial"/>
        </w:rPr>
      </w:pPr>
      <w:r>
        <w:rPr>
          <w:rFonts w:ascii="Arial" w:hAnsi="Arial" w:cs="Arial"/>
        </w:rPr>
        <w:t>Polegając na osobach zdolnych do wykonania zamówienia innego (</w:t>
      </w:r>
      <w:proofErr w:type="spellStart"/>
      <w:r>
        <w:rPr>
          <w:rFonts w:ascii="Arial" w:hAnsi="Arial" w:cs="Arial"/>
        </w:rPr>
        <w:t>ych</w:t>
      </w:r>
      <w:proofErr w:type="spellEnd"/>
      <w:r>
        <w:rPr>
          <w:rFonts w:ascii="Arial" w:hAnsi="Arial" w:cs="Arial"/>
        </w:rPr>
        <w:t xml:space="preserve"> ) podmiotu(ów) na zasadach określonych w art.22a </w:t>
      </w:r>
      <w:proofErr w:type="spellStart"/>
      <w:r>
        <w:rPr>
          <w:rFonts w:ascii="Arial" w:hAnsi="Arial" w:cs="Arial"/>
        </w:rPr>
        <w:t>Pzp</w:t>
      </w:r>
      <w:proofErr w:type="spellEnd"/>
      <w:r>
        <w:rPr>
          <w:rFonts w:ascii="Arial" w:hAnsi="Arial" w:cs="Arial"/>
        </w:rPr>
        <w:t xml:space="preserve"> , załączmy pisemne zobowiązanie / dokument(y) udowadniający(e), że będziemy dysponowali jego (ich) zasobami niezbędnymi do realizacji zamówienia:</w:t>
      </w:r>
    </w:p>
    <w:p w:rsidR="002D1E73" w:rsidRDefault="002D1E73" w:rsidP="002D1E73">
      <w:pPr>
        <w:rPr>
          <w:rFonts w:ascii="Arial" w:hAnsi="Arial" w:cs="Arial"/>
          <w:sz w:val="20"/>
          <w:szCs w:val="20"/>
        </w:rPr>
      </w:pPr>
    </w:p>
    <w:p w:rsidR="002D1E73" w:rsidRDefault="002D1E73" w:rsidP="002D1E73">
      <w:pPr>
        <w:rPr>
          <w:rFonts w:ascii="Arial" w:hAnsi="Arial" w:cs="Arial"/>
          <w:sz w:val="20"/>
          <w:szCs w:val="20"/>
        </w:rPr>
      </w:pPr>
      <w:r>
        <w:rPr>
          <w:rFonts w:ascii="Arial" w:hAnsi="Arial" w:cs="Arial"/>
          <w:sz w:val="20"/>
          <w:szCs w:val="20"/>
        </w:rPr>
        <w:t>...................................................................................................................................................................</w:t>
      </w:r>
    </w:p>
    <w:p w:rsidR="002D1E73" w:rsidRDefault="002D1E73" w:rsidP="002D1E73">
      <w:pPr>
        <w:rPr>
          <w:rFonts w:ascii="Arial" w:hAnsi="Arial" w:cs="Arial"/>
          <w:sz w:val="20"/>
          <w:szCs w:val="20"/>
        </w:rPr>
      </w:pPr>
    </w:p>
    <w:p w:rsidR="00D76430" w:rsidRPr="00D76430" w:rsidRDefault="002D1E73" w:rsidP="002D1E73">
      <w:pPr>
        <w:jc w:val="both"/>
        <w:rPr>
          <w:rFonts w:ascii="Calibri" w:hAnsi="Calibri"/>
          <w:sz w:val="22"/>
          <w:szCs w:val="22"/>
        </w:rPr>
      </w:pPr>
      <w:r>
        <w:rPr>
          <w:rFonts w:ascii="Arial" w:hAnsi="Arial" w:cs="Arial"/>
          <w:sz w:val="20"/>
          <w:szCs w:val="20"/>
        </w:rPr>
        <w:t>...................................................................................................................................................................</w:t>
      </w:r>
    </w:p>
    <w:p w:rsidR="00D76430" w:rsidRPr="00D76430" w:rsidRDefault="00D76430" w:rsidP="00D76430">
      <w:pPr>
        <w:jc w:val="both"/>
        <w:rPr>
          <w:rFonts w:ascii="Calibri" w:hAnsi="Calibri"/>
          <w:sz w:val="22"/>
          <w:szCs w:val="22"/>
        </w:rPr>
      </w:pPr>
    </w:p>
    <w:p w:rsidR="002D1E73" w:rsidRDefault="002D1E73"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D76430" w:rsidRDefault="00D76430" w:rsidP="003E3C06"/>
    <w:p w:rsidR="003E3C06" w:rsidRDefault="003E3C06" w:rsidP="003E3C06"/>
    <w:p w:rsidR="003E3C06" w:rsidRDefault="003E3C06" w:rsidP="003E3C06"/>
    <w:p w:rsidR="003E3C06" w:rsidRDefault="003E3C06" w:rsidP="003E3C06"/>
    <w:p w:rsidR="003E3C06" w:rsidRDefault="003E3C06" w:rsidP="003E3C06"/>
    <w:p w:rsidR="003E3C06" w:rsidRDefault="003E3C06" w:rsidP="003E3C06">
      <w:pPr>
        <w:shd w:val="clear" w:color="auto" w:fill="FFFFFF"/>
        <w:ind w:right="29"/>
        <w:jc w:val="right"/>
        <w:rPr>
          <w:color w:val="000000"/>
          <w:szCs w:val="18"/>
        </w:rPr>
      </w:pPr>
    </w:p>
    <w:p w:rsidR="003E3C06" w:rsidRDefault="003E3C06" w:rsidP="003E3C06">
      <w:pPr>
        <w:shd w:val="clear" w:color="auto" w:fill="FFFFFF"/>
        <w:ind w:right="29"/>
        <w:jc w:val="right"/>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Pr>
          <w:rFonts w:ascii="Calibri" w:hAnsi="Calibri" w:cs="Arial"/>
          <w:b/>
          <w:bCs/>
          <w:sz w:val="22"/>
          <w:szCs w:val="22"/>
        </w:rPr>
        <w:t>2016</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Pr>
          <w:rFonts w:ascii="Calibri" w:hAnsi="Calibri"/>
          <w:b/>
          <w:sz w:val="22"/>
          <w:szCs w:val="22"/>
        </w:rPr>
        <w:t xml:space="preserve"> dróg powiatowych w sezonie 2016</w:t>
      </w:r>
      <w:r w:rsidRPr="00D76430">
        <w:rPr>
          <w:rFonts w:ascii="Calibri" w:hAnsi="Calibri"/>
          <w:b/>
          <w:sz w:val="22"/>
          <w:szCs w:val="22"/>
        </w:rPr>
        <w:t>/</w:t>
      </w:r>
      <w:r>
        <w:rPr>
          <w:rFonts w:ascii="Calibri" w:hAnsi="Calibri"/>
          <w:b/>
          <w:sz w:val="22"/>
          <w:szCs w:val="22"/>
        </w:rPr>
        <w:t>2017</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Pr>
          <w:rFonts w:ascii="Calibri" w:hAnsi="Calibri"/>
          <w:b/>
          <w:sz w:val="22"/>
          <w:szCs w:val="22"/>
        </w:rPr>
        <w:t>24</w:t>
      </w:r>
      <w:r w:rsidRPr="00D76430">
        <w:rPr>
          <w:rFonts w:ascii="Calibri" w:hAnsi="Calibri"/>
          <w:b/>
          <w:sz w:val="22"/>
          <w:szCs w:val="22"/>
        </w:rPr>
        <w:t xml:space="preserve"> października</w:t>
      </w:r>
      <w:r>
        <w:rPr>
          <w:rFonts w:ascii="Calibri" w:hAnsi="Calibri"/>
          <w:b/>
          <w:sz w:val="22"/>
          <w:szCs w:val="22"/>
        </w:rPr>
        <w:t xml:space="preserve"> 2016</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Pr>
          <w:rFonts w:ascii="Calibri" w:hAnsi="Calibri"/>
          <w:b/>
          <w:sz w:val="22"/>
          <w:szCs w:val="22"/>
        </w:rPr>
        <w:t>do 30 kwietnia 2017</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Do odśnieżania dróg oraz zwalczania śliskości zimowej używany będzie sprzęt będący w posiadaniu Wykonawcy i</w:t>
      </w:r>
      <w:r w:rsidR="00DC6C03">
        <w:rPr>
          <w:rFonts w:ascii="Calibri" w:hAnsi="Calibri"/>
          <w:sz w:val="22"/>
          <w:szCs w:val="22"/>
        </w:rPr>
        <w:t xml:space="preserve"> zadeklarowany w załączniku nr 6</w:t>
      </w:r>
      <w:r w:rsidRPr="00D76430">
        <w:rPr>
          <w:rFonts w:ascii="Calibri" w:hAnsi="Calibri"/>
          <w:sz w:val="22"/>
          <w:szCs w:val="22"/>
        </w:rPr>
        <w:t xml:space="preserve">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Środki transportu oferowane przez Wykonawcę do wykonywania usługi powinny spełniać wymagania techniczne określone w Rozporządzeniu Ministra Infrastruktury z dnia 31 grudnia </w:t>
      </w:r>
      <w:r w:rsidRPr="00D76430">
        <w:rPr>
          <w:rFonts w:ascii="Calibri" w:hAnsi="Calibri"/>
          <w:sz w:val="22"/>
          <w:szCs w:val="22"/>
        </w:rPr>
        <w:lastRenderedPageBreak/>
        <w:t xml:space="preserve">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sezonie zimowym 2016/2017</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 w przypadku awarii pojazdu lub sprzętu, zgłoszenia tego Zamawiającemu oraz zapewnienia odpowiedniego (równoważnego) pojazdu/sprzętu zastępczego </w:t>
      </w:r>
      <w:r w:rsidR="002D1E73">
        <w:rPr>
          <w:rFonts w:ascii="Calibri" w:hAnsi="Calibri"/>
          <w:sz w:val="22"/>
          <w:szCs w:val="22"/>
        </w:rPr>
        <w:t>zgodnie z terminem zadeklarowanym w ofercie</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przygotowania w 100% oraz przedst</w:t>
      </w:r>
      <w:r w:rsidR="002D1E73">
        <w:rPr>
          <w:rFonts w:ascii="Calibri" w:hAnsi="Calibri"/>
          <w:bCs/>
          <w:sz w:val="22"/>
          <w:szCs w:val="22"/>
        </w:rPr>
        <w:t>awienia Zamawiającemu w ciągu 5</w:t>
      </w:r>
      <w:r w:rsidRPr="00D76430">
        <w:rPr>
          <w:rFonts w:ascii="Calibri" w:hAnsi="Calibri"/>
          <w:bCs/>
          <w:sz w:val="22"/>
          <w:szCs w:val="22"/>
        </w:rPr>
        <w:t xml:space="preserve">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i zużytych materiałów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Pr>
          <w:rFonts w:ascii="Calibri" w:hAnsi="Calibri"/>
          <w:sz w:val="22"/>
          <w:szCs w:val="22"/>
        </w:rPr>
        <w:t>14</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niedostosowanie się do polecenia Przedstawiciela Zamawiającego odnośnie użycia większej ilości sprzętu podstawowego w danym obszarze (do maksymalnej ilości pojazdów-sprzętu dla danej części zamówi</w:t>
      </w:r>
      <w:r w:rsidR="002D1E73">
        <w:rPr>
          <w:rFonts w:ascii="Calibri" w:hAnsi="Calibri"/>
          <w:sz w:val="22"/>
          <w:szCs w:val="22"/>
        </w:rPr>
        <w:t>enia zgodnie z załącznikiem nr 6</w:t>
      </w:r>
      <w:r w:rsidRPr="00D76430">
        <w:rPr>
          <w:rFonts w:ascii="Calibri" w:hAnsi="Calibri"/>
          <w:sz w:val="22"/>
          <w:szCs w:val="22"/>
        </w:rPr>
        <w:t xml:space="preserve">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D76430" w:rsidRPr="00D76430" w:rsidRDefault="00D76430" w:rsidP="00D76430">
      <w:pPr>
        <w:spacing w:before="120" w:after="120"/>
        <w:jc w:val="both"/>
        <w:rPr>
          <w:rFonts w:ascii="Calibri" w:hAnsi="Calibri"/>
          <w:sz w:val="22"/>
          <w:szCs w:val="22"/>
        </w:rPr>
      </w:pPr>
    </w:p>
    <w:p w:rsidR="00D76430" w:rsidRPr="00D76430" w:rsidRDefault="00D76430" w:rsidP="00D76430">
      <w:pPr>
        <w:spacing w:before="120" w:after="120"/>
        <w:jc w:val="center"/>
        <w:rPr>
          <w:rFonts w:ascii="Calibri" w:hAnsi="Calibri"/>
          <w:sz w:val="22"/>
          <w:szCs w:val="22"/>
        </w:rPr>
      </w:pPr>
      <w:r w:rsidRPr="00D76430">
        <w:rPr>
          <w:rFonts w:ascii="Calibri" w:hAnsi="Calibri"/>
          <w:sz w:val="22"/>
          <w:szCs w:val="22"/>
        </w:rPr>
        <w:lastRenderedPageBreak/>
        <w:t>§ 16</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17</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18</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b/>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right"/>
        <w:rPr>
          <w:rFonts w:ascii="Calibri" w:hAnsi="Calibri"/>
          <w:iCs/>
          <w:sz w:val="22"/>
          <w:szCs w:val="22"/>
        </w:rPr>
      </w:pPr>
      <w:r>
        <w:rPr>
          <w:rFonts w:ascii="Calibri" w:hAnsi="Calibri"/>
          <w:iCs/>
          <w:sz w:val="22"/>
          <w:szCs w:val="22"/>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Pr>
          <w:rFonts w:ascii="Calibri" w:hAnsi="Calibri" w:cs="Arial"/>
          <w:b/>
          <w:bCs/>
          <w:sz w:val="22"/>
          <w:szCs w:val="22"/>
        </w:rPr>
        <w:t>2016</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W dniu ......................... pomiędzy Zarządem Dróg Powiatowych w Nakle nad Notecią, 89-100 Nakło nad Notecią, ul. Młyńska 5, zwanym dalej Zamawiającym, reprezentowanym przez:</w:t>
      </w:r>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2010 r. Nr 113, poz. 759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Pr>
          <w:rFonts w:ascii="Calibri" w:hAnsi="Calibri"/>
          <w:b/>
          <w:sz w:val="22"/>
          <w:szCs w:val="22"/>
        </w:rPr>
        <w:t xml:space="preserve"> dróg powiatowych w sezonie 2016</w:t>
      </w:r>
      <w:r w:rsidRPr="00D76430">
        <w:rPr>
          <w:rFonts w:ascii="Calibri" w:hAnsi="Calibri"/>
          <w:b/>
          <w:sz w:val="22"/>
          <w:szCs w:val="22"/>
        </w:rPr>
        <w:t>/</w:t>
      </w:r>
      <w:r>
        <w:rPr>
          <w:rFonts w:ascii="Calibri" w:hAnsi="Calibri"/>
          <w:b/>
          <w:sz w:val="22"/>
          <w:szCs w:val="22"/>
        </w:rPr>
        <w:t>2017</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Pr>
          <w:rFonts w:ascii="Calibri" w:hAnsi="Calibri"/>
          <w:b/>
          <w:sz w:val="22"/>
          <w:szCs w:val="22"/>
        </w:rPr>
        <w:t>24</w:t>
      </w:r>
      <w:r w:rsidRPr="00D76430">
        <w:rPr>
          <w:rFonts w:ascii="Calibri" w:hAnsi="Calibri"/>
          <w:b/>
          <w:sz w:val="22"/>
          <w:szCs w:val="22"/>
        </w:rPr>
        <w:t xml:space="preserve"> października</w:t>
      </w:r>
      <w:r>
        <w:rPr>
          <w:rFonts w:ascii="Calibri" w:hAnsi="Calibri"/>
          <w:b/>
          <w:sz w:val="22"/>
          <w:szCs w:val="22"/>
        </w:rPr>
        <w:t xml:space="preserve"> 2016</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Pr>
          <w:rFonts w:ascii="Calibri" w:hAnsi="Calibri"/>
          <w:b/>
          <w:sz w:val="22"/>
          <w:szCs w:val="22"/>
        </w:rPr>
        <w:t>do 30 kwietnia 2017</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t>5. Wymaga się, aby sprzęt będący w posiadaniu Wykonawcy był sprawny technicznie, wyposażony w dodatkowe światła, niezbędny do prawidłowego zimowego utrzymania chodników w sezonie zimowym 2015/2016.</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lastRenderedPageBreak/>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D76430" w:rsidRPr="00D76430" w:rsidRDefault="00D76430" w:rsidP="00D76430">
      <w:pPr>
        <w:spacing w:before="120" w:after="120"/>
        <w:jc w:val="both"/>
        <w:rPr>
          <w:rFonts w:ascii="Calibri" w:hAnsi="Calibri"/>
          <w:sz w:val="22"/>
          <w:szCs w:val="22"/>
        </w:rPr>
      </w:pPr>
    </w:p>
    <w:p w:rsidR="00D76430" w:rsidRPr="00D76430" w:rsidRDefault="00D76430" w:rsidP="00D76430">
      <w:pPr>
        <w:spacing w:before="120" w:after="120"/>
        <w:jc w:val="center"/>
        <w:rPr>
          <w:rFonts w:ascii="Calibri" w:hAnsi="Calibri"/>
          <w:sz w:val="22"/>
          <w:szCs w:val="22"/>
        </w:rPr>
      </w:pPr>
      <w:r w:rsidRPr="00D76430">
        <w:rPr>
          <w:rFonts w:ascii="Calibri" w:hAnsi="Calibri"/>
          <w:sz w:val="22"/>
          <w:szCs w:val="22"/>
        </w:rPr>
        <w:t>§ 11</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12</w:t>
      </w:r>
    </w:p>
    <w:p w:rsidR="00D76430" w:rsidRPr="00D76430" w:rsidRDefault="00D76430" w:rsidP="00D76430">
      <w:pPr>
        <w:ind w:left="360"/>
        <w:jc w:val="both"/>
        <w:rPr>
          <w:rFonts w:ascii="Calibri" w:hAnsi="Calibri"/>
          <w:sz w:val="22"/>
          <w:szCs w:val="22"/>
        </w:rPr>
      </w:pPr>
      <w:r w:rsidRPr="00D76430">
        <w:rPr>
          <w:rFonts w:ascii="Calibri" w:hAnsi="Calibri"/>
          <w:sz w:val="22"/>
          <w:szCs w:val="22"/>
        </w:rPr>
        <w:lastRenderedPageBreak/>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D76430" w:rsidP="00D76430">
      <w:pPr>
        <w:spacing w:after="120" w:line="276" w:lineRule="auto"/>
        <w:jc w:val="center"/>
        <w:rPr>
          <w:rFonts w:ascii="Calibri" w:hAnsi="Calibri"/>
          <w:sz w:val="22"/>
          <w:szCs w:val="22"/>
        </w:rPr>
      </w:pPr>
      <w:r w:rsidRPr="00D76430">
        <w:rPr>
          <w:rFonts w:ascii="Calibri" w:hAnsi="Calibri"/>
          <w:sz w:val="22"/>
          <w:szCs w:val="22"/>
        </w:rPr>
        <w:t>§ 13</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sz w:val="22"/>
          <w:szCs w:val="22"/>
        </w:rPr>
      </w:pPr>
    </w:p>
    <w:p w:rsidR="003E3C06" w:rsidRDefault="003E3C06" w:rsidP="003E3C06">
      <w:pPr>
        <w:jc w:val="center"/>
        <w:rPr>
          <w:rFonts w:ascii="Arial" w:hAnsi="Arial" w:cs="Arial"/>
          <w:b/>
        </w:rPr>
      </w:pPr>
    </w:p>
    <w:p w:rsidR="003E3C06" w:rsidRDefault="003E3C06" w:rsidP="003E3C06">
      <w:pPr>
        <w:tabs>
          <w:tab w:val="left" w:pos="4219"/>
        </w:tabs>
        <w:ind w:right="101"/>
        <w:rPr>
          <w:rFonts w:ascii="Arial" w:hAnsi="Arial" w:cs="Arial"/>
          <w:color w:val="000000"/>
          <w:szCs w:val="2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21E651C"/>
    <w:multiLevelType w:val="singleLevel"/>
    <w:tmpl w:val="7D1067D2"/>
    <w:lvl w:ilvl="0">
      <w:start w:val="22"/>
      <w:numFmt w:val="upperRoman"/>
      <w:lvlText w:val="%1."/>
      <w:lvlJc w:val="left"/>
      <w:rPr>
        <w:rFonts w:ascii="Times New Roman" w:hAnsi="Times New Roman" w:cs="Times New Roman" w:hint="default"/>
        <w:b/>
      </w:rPr>
    </w:lvl>
  </w:abstractNum>
  <w:abstractNum w:abstractNumId="5">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6">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9">
    <w:nsid w:val="0BAD2F5C"/>
    <w:multiLevelType w:val="singleLevel"/>
    <w:tmpl w:val="0415000F"/>
    <w:lvl w:ilvl="0">
      <w:start w:val="1"/>
      <w:numFmt w:val="decimal"/>
      <w:lvlText w:val="%1."/>
      <w:lvlJc w:val="left"/>
      <w:pPr>
        <w:tabs>
          <w:tab w:val="num" w:pos="360"/>
        </w:tabs>
        <w:ind w:left="360" w:hanging="360"/>
      </w:pPr>
    </w:lvl>
  </w:abstractNum>
  <w:abstractNum w:abstractNumId="10">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1">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5">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7">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2">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4">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5">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7">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9">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2">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3">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4">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5">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7">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39">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1">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3">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4">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5">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6">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7">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48">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9">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0">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1">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2">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3">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4">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5">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6">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7">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0">
    <w:nsid w:val="5B4070A4"/>
    <w:multiLevelType w:val="singleLevel"/>
    <w:tmpl w:val="0415000F"/>
    <w:lvl w:ilvl="0">
      <w:start w:val="1"/>
      <w:numFmt w:val="decimal"/>
      <w:lvlText w:val="%1."/>
      <w:lvlJc w:val="left"/>
      <w:pPr>
        <w:tabs>
          <w:tab w:val="num" w:pos="360"/>
        </w:tabs>
        <w:ind w:left="360" w:hanging="360"/>
      </w:pPr>
    </w:lvl>
  </w:abstractNum>
  <w:abstractNum w:abstractNumId="61">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2">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3">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66">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68">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69">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0">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1">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73">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76">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3"/>
    <w:lvlOverride w:ilvl="0">
      <w:startOverride w:val="1"/>
    </w:lvlOverride>
  </w:num>
  <w:num w:numId="2">
    <w:abstractNumId w:val="67"/>
    <w:lvlOverride w:ilvl="0">
      <w:startOverride w:val="6"/>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0"/>
  </w:num>
  <w:num w:numId="6">
    <w:abstractNumId w:val="22"/>
  </w:num>
  <w:num w:numId="7">
    <w:abstractNumId w:val="48"/>
  </w:num>
  <w:num w:numId="8">
    <w:abstractNumId w:val="39"/>
  </w:num>
  <w:num w:numId="9">
    <w:abstractNumId w:val="72"/>
  </w:num>
  <w:num w:numId="10">
    <w:abstractNumId w:val="55"/>
  </w:num>
  <w:num w:numId="11">
    <w:abstractNumId w:val="8"/>
  </w:num>
  <w:num w:numId="12">
    <w:abstractNumId w:val="8"/>
    <w:lvlOverride w:ilvl="0">
      <w:lvl w:ilvl="0">
        <w:start w:val="1"/>
        <w:numFmt w:val="lowerLetter"/>
        <w:lvlText w:val="%1)"/>
        <w:legacy w:legacy="1" w:legacySpace="0" w:legacyIndent="422"/>
        <w:lvlJc w:val="left"/>
        <w:rPr>
          <w:rFonts w:ascii="Arial" w:hAnsi="Arial" w:cs="Arial" w:hint="default"/>
        </w:rPr>
      </w:lvl>
    </w:lvlOverride>
  </w:num>
  <w:num w:numId="13">
    <w:abstractNumId w:val="26"/>
  </w:num>
  <w:num w:numId="14">
    <w:abstractNumId w:val="14"/>
  </w:num>
  <w:num w:numId="15">
    <w:abstractNumId w:val="52"/>
  </w:num>
  <w:num w:numId="16">
    <w:abstractNumId w:val="5"/>
  </w:num>
  <w:num w:numId="17">
    <w:abstractNumId w:val="5"/>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75"/>
  </w:num>
  <w:num w:numId="19">
    <w:abstractNumId w:val="69"/>
  </w:num>
  <w:num w:numId="20">
    <w:abstractNumId w:val="43"/>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4"/>
  </w:num>
  <w:num w:numId="23">
    <w:abstractNumId w:val="28"/>
  </w:num>
  <w:num w:numId="24">
    <w:abstractNumId w:val="19"/>
  </w:num>
  <w:num w:numId="25">
    <w:abstractNumId w:val="40"/>
  </w:num>
  <w:num w:numId="26">
    <w:abstractNumId w:val="59"/>
  </w:num>
  <w:num w:numId="27">
    <w:abstractNumId w:val="50"/>
  </w:num>
  <w:num w:numId="28">
    <w:abstractNumId w:val="65"/>
  </w:num>
  <w:num w:numId="29">
    <w:abstractNumId w:val="42"/>
  </w:num>
  <w:num w:numId="30">
    <w:abstractNumId w:val="33"/>
  </w:num>
  <w:num w:numId="31">
    <w:abstractNumId w:val="56"/>
  </w:num>
  <w:num w:numId="32">
    <w:abstractNumId w:val="45"/>
  </w:num>
  <w:num w:numId="33">
    <w:abstractNumId w:val="46"/>
  </w:num>
  <w:num w:numId="34">
    <w:abstractNumId w:val="47"/>
  </w:num>
  <w:num w:numId="35">
    <w:abstractNumId w:val="49"/>
  </w:num>
  <w:num w:numId="36">
    <w:abstractNumId w:val="36"/>
  </w:num>
  <w:num w:numId="37">
    <w:abstractNumId w:val="38"/>
  </w:num>
  <w:num w:numId="38">
    <w:abstractNumId w:val="53"/>
  </w:num>
  <w:num w:numId="39">
    <w:abstractNumId w:val="34"/>
  </w:num>
  <w:num w:numId="40">
    <w:abstractNumId w:val="18"/>
  </w:num>
  <w:num w:numId="41">
    <w:abstractNumId w:val="4"/>
  </w:num>
  <w:num w:numId="42">
    <w:abstractNumId w:val="10"/>
  </w:num>
  <w:num w:numId="43">
    <w:abstractNumId w:val="6"/>
  </w:num>
  <w:num w:numId="44">
    <w:abstractNumId w:val="29"/>
  </w:num>
  <w:num w:numId="45">
    <w:abstractNumId w:val="31"/>
  </w:num>
  <w:num w:numId="46">
    <w:abstractNumId w:val="62"/>
  </w:num>
  <w:num w:numId="47">
    <w:abstractNumId w:val="78"/>
  </w:num>
  <w:num w:numId="48">
    <w:abstractNumId w:val="21"/>
  </w:num>
  <w:num w:numId="49">
    <w:abstractNumId w:val="16"/>
  </w:num>
  <w:num w:numId="50">
    <w:abstractNumId w:val="24"/>
  </w:num>
  <w:num w:numId="51">
    <w:abstractNumId w:val="63"/>
  </w:num>
  <w:num w:numId="52">
    <w:abstractNumId w:val="61"/>
  </w:num>
  <w:num w:numId="53">
    <w:abstractNumId w:val="32"/>
  </w:num>
  <w:num w:numId="54">
    <w:abstractNumId w:val="76"/>
  </w:num>
  <w:num w:numId="55">
    <w:abstractNumId w:val="70"/>
  </w:num>
  <w:num w:numId="56">
    <w:abstractNumId w:val="41"/>
  </w:num>
  <w:num w:numId="57">
    <w:abstractNumId w:val="60"/>
    <w:lvlOverride w:ilvl="0">
      <w:startOverride w:val="1"/>
    </w:lvlOverride>
  </w:num>
  <w:num w:numId="58">
    <w:abstractNumId w:val="54"/>
    <w:lvlOverride w:ilvl="0">
      <w:startOverride w:val="1"/>
    </w:lvlOverride>
  </w:num>
  <w:num w:numId="59">
    <w:abstractNumId w:val="51"/>
    <w:lvlOverride w:ilvl="0">
      <w:startOverride w:val="1"/>
    </w:lvlOverride>
  </w:num>
  <w:num w:numId="60">
    <w:abstractNumId w:val="25"/>
  </w:num>
  <w:num w:numId="61">
    <w:abstractNumId w:val="13"/>
  </w:num>
  <w:num w:numId="62">
    <w:abstractNumId w:val="11"/>
  </w:num>
  <w:num w:numId="63">
    <w:abstractNumId w:val="12"/>
  </w:num>
  <w:num w:numId="64">
    <w:abstractNumId w:val="27"/>
  </w:num>
  <w:num w:numId="65">
    <w:abstractNumId w:val="30"/>
  </w:num>
  <w:num w:numId="66">
    <w:abstractNumId w:val="23"/>
  </w:num>
  <w:num w:numId="67">
    <w:abstractNumId w:val="66"/>
  </w:num>
  <w:num w:numId="68">
    <w:abstractNumId w:val="71"/>
  </w:num>
  <w:num w:numId="69">
    <w:abstractNumId w:val="17"/>
  </w:num>
  <w:num w:numId="70">
    <w:abstractNumId w:val="37"/>
  </w:num>
  <w:num w:numId="71">
    <w:abstractNumId w:val="68"/>
  </w:num>
  <w:num w:numId="72">
    <w:abstractNumId w:val="9"/>
  </w:num>
  <w:num w:numId="73">
    <w:abstractNumId w:val="74"/>
  </w:num>
  <w:num w:numId="74">
    <w:abstractNumId w:val="57"/>
  </w:num>
  <w:num w:numId="75">
    <w:abstractNumId w:val="15"/>
  </w:num>
  <w:num w:numId="76">
    <w:abstractNumId w:val="64"/>
  </w:num>
  <w:num w:numId="77">
    <w:abstractNumId w:val="77"/>
  </w:num>
  <w:num w:numId="78">
    <w:abstractNumId w:val="5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2"/>
  </w:compat>
  <w:rsids>
    <w:rsidRoot w:val="0084117F"/>
    <w:rsid w:val="00040AC3"/>
    <w:rsid w:val="0005225B"/>
    <w:rsid w:val="00126026"/>
    <w:rsid w:val="00181FAE"/>
    <w:rsid w:val="00182C8C"/>
    <w:rsid w:val="00193272"/>
    <w:rsid w:val="001E6251"/>
    <w:rsid w:val="001F5401"/>
    <w:rsid w:val="002D1E73"/>
    <w:rsid w:val="002E3CEE"/>
    <w:rsid w:val="00353016"/>
    <w:rsid w:val="003C120C"/>
    <w:rsid w:val="003E3C06"/>
    <w:rsid w:val="004713C6"/>
    <w:rsid w:val="00553D14"/>
    <w:rsid w:val="00582782"/>
    <w:rsid w:val="006733EE"/>
    <w:rsid w:val="0073040E"/>
    <w:rsid w:val="00757174"/>
    <w:rsid w:val="0084117F"/>
    <w:rsid w:val="009448B8"/>
    <w:rsid w:val="00AF5A58"/>
    <w:rsid w:val="00BB4546"/>
    <w:rsid w:val="00D04602"/>
    <w:rsid w:val="00D05E68"/>
    <w:rsid w:val="00D76430"/>
    <w:rsid w:val="00DC6C03"/>
    <w:rsid w:val="00DD6818"/>
    <w:rsid w:val="00E65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emar.roszczyk@zdpnaklo.pl" TargetMode="External"/><Relationship Id="rId13" Type="http://schemas.openxmlformats.org/officeDocument/2006/relationships/hyperlink" Target="https://zdpnaklo.rbip.mojregion.info/" TargetMode="External"/><Relationship Id="rId3" Type="http://schemas.microsoft.com/office/2007/relationships/stylesWithEffects" Target="stylesWithEffects.xml"/><Relationship Id="rId7" Type="http://schemas.openxmlformats.org/officeDocument/2006/relationships/hyperlink" Target="mailto:marek.pacholski@zdpnaklo.pl" TargetMode="External"/><Relationship Id="rId12"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amowienia@zdpnaklo.pl" TargetMode="External"/><Relationship Id="rId11" Type="http://schemas.openxmlformats.org/officeDocument/2006/relationships/hyperlink" Target="https://zdpnakl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pnaklo.pl" TargetMode="Externa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36</Pages>
  <Words>13937</Words>
  <Characters>83624</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6</cp:revision>
  <dcterms:created xsi:type="dcterms:W3CDTF">2016-10-13T06:14:00Z</dcterms:created>
  <dcterms:modified xsi:type="dcterms:W3CDTF">2016-10-17T06:53:00Z</dcterms:modified>
</cp:coreProperties>
</file>