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62" w:rsidRPr="00837069" w:rsidRDefault="00EE6F62" w:rsidP="00EE6F6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D-04.04.04 PODBUDOWA Z KRUSZYWA Z GRUZU BETONOWEGO</w:t>
      </w:r>
    </w:p>
    <w:p w:rsidR="00837069" w:rsidRDefault="00837069" w:rsidP="00EE6F6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 WST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P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1.1. Przedmiot SST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Przedmiotem niniejszej szczegółowej specyfikacji technicznej (SST) są wymagania dotyczące wykonania i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odbioru robót związanych z</w:t>
      </w:r>
      <w:r w:rsidR="00837069">
        <w:rPr>
          <w:rFonts w:cs="Arial"/>
          <w:sz w:val="20"/>
          <w:szCs w:val="20"/>
        </w:rPr>
        <w:t xml:space="preserve"> wykonaniem podbudowy</w:t>
      </w:r>
      <w:r w:rsidRPr="00837069">
        <w:rPr>
          <w:rFonts w:cs="Arial"/>
          <w:sz w:val="20"/>
          <w:szCs w:val="20"/>
        </w:rPr>
        <w:t xml:space="preserve"> z gruzu betonowego w ramach</w:t>
      </w:r>
      <w:r w:rsidR="00837069">
        <w:rPr>
          <w:rFonts w:cs="Arial"/>
          <w:sz w:val="20"/>
          <w:szCs w:val="20"/>
        </w:rPr>
        <w:t xml:space="preserve"> </w:t>
      </w:r>
      <w:r w:rsidR="0088578D">
        <w:rPr>
          <w:rFonts w:cs="Arial"/>
          <w:sz w:val="20"/>
          <w:szCs w:val="20"/>
        </w:rPr>
        <w:t xml:space="preserve">Realizacji inwestycji w ciągu drogi powiatowej nr </w:t>
      </w:r>
      <w:bookmarkStart w:id="0" w:name="_GoBack"/>
      <w:bookmarkEnd w:id="0"/>
      <w:r w:rsidR="0088578D" w:rsidRPr="0088578D">
        <w:rPr>
          <w:sz w:val="18"/>
          <w:szCs w:val="18"/>
        </w:rPr>
        <w:t>1150C Zabartowo-Nakło</w:t>
      </w:r>
      <w:r w:rsidRPr="00837069">
        <w:rPr>
          <w:rFonts w:cs="Arial"/>
          <w:sz w:val="20"/>
          <w:szCs w:val="20"/>
        </w:rPr>
        <w:t>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1.2. Zakres stosowania SST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SST stanowi integralną część dokumentów przetargowych i podpisywanej umowy na realizację robót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wymienionych w p. 1.1.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1.3. Zakres robót obj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tych SST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Ustalenia zawarte w niniejszej specyfikacji dotyczą zasad prowadzenia robót związanych z wykonaniem</w:t>
      </w:r>
      <w:r w:rsidR="00837069">
        <w:rPr>
          <w:rFonts w:cs="Arial"/>
          <w:sz w:val="20"/>
          <w:szCs w:val="20"/>
        </w:rPr>
        <w:t xml:space="preserve"> podbudowy</w:t>
      </w:r>
      <w:r w:rsidRPr="00837069">
        <w:rPr>
          <w:rFonts w:cs="Arial"/>
          <w:sz w:val="20"/>
          <w:szCs w:val="20"/>
        </w:rPr>
        <w:t xml:space="preserve"> z gruzu betonowego.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1.4. Okre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lenia podstawowe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1) </w:t>
      </w:r>
      <w:r w:rsidRPr="00837069">
        <w:rPr>
          <w:rFonts w:cs="Arial"/>
          <w:b/>
          <w:bCs/>
          <w:sz w:val="20"/>
          <w:szCs w:val="20"/>
        </w:rPr>
        <w:t xml:space="preserve">Podbudowa z kruszywa z gruzu betonowego </w:t>
      </w:r>
      <w:r w:rsidRPr="00837069">
        <w:rPr>
          <w:rFonts w:cs="Arial"/>
          <w:sz w:val="20"/>
          <w:szCs w:val="20"/>
        </w:rPr>
        <w:t>– część konstrukcji nawierzchni składająca się z</w:t>
      </w:r>
      <w:r w:rsidR="00837069">
        <w:rPr>
          <w:rFonts w:cs="Arial"/>
          <w:sz w:val="20"/>
          <w:szCs w:val="20"/>
        </w:rPr>
        <w:t xml:space="preserve"> jednej lub </w:t>
      </w:r>
      <w:r w:rsidRPr="00837069">
        <w:rPr>
          <w:rFonts w:cs="Arial"/>
          <w:sz w:val="20"/>
          <w:szCs w:val="20"/>
        </w:rPr>
        <w:t xml:space="preserve">więcej warstw nośnych z </w:t>
      </w:r>
      <w:proofErr w:type="spellStart"/>
      <w:r w:rsidRPr="00837069">
        <w:rPr>
          <w:rFonts w:cs="Arial"/>
          <w:sz w:val="20"/>
          <w:szCs w:val="20"/>
        </w:rPr>
        <w:t>przekruszonego</w:t>
      </w:r>
      <w:proofErr w:type="spellEnd"/>
      <w:r w:rsidRPr="00837069">
        <w:rPr>
          <w:rFonts w:cs="Arial"/>
          <w:sz w:val="20"/>
          <w:szCs w:val="20"/>
        </w:rPr>
        <w:t xml:space="preserve"> gruzu betonowego.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Pozostałe stosowane określenia podstawowe są zgodne z obowiązującymi, odpowiednimi polskimi normami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i z definicjami podanymi w SST D-00.00.00 „Wymagania ogólne” pkt 1.4.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1.5.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wymagania dotyczące robót podano w SST D-00.00.00 „Wymagania ogólne” pkt 1.5.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 MATERIAŁY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2.1.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materiałów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wymagania dotyczące materiałów, ich pozyskiwania i składowania podano w SST D-00.00.00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„Wymagania ogólne” pkt 2.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2.2. Rodzaje materiałów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Materiałami stosowanymi przy wykonywaniu podbudowy są: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kruszywo łamane frakcji 0/63 uzyskane w wyniku </w:t>
      </w:r>
      <w:proofErr w:type="spellStart"/>
      <w:r w:rsidRPr="00837069">
        <w:rPr>
          <w:rFonts w:cs="Arial"/>
          <w:sz w:val="20"/>
          <w:szCs w:val="20"/>
        </w:rPr>
        <w:t>przekruszenia</w:t>
      </w:r>
      <w:proofErr w:type="spellEnd"/>
      <w:r w:rsidRPr="00837069">
        <w:rPr>
          <w:rFonts w:cs="Arial"/>
          <w:sz w:val="20"/>
          <w:szCs w:val="20"/>
        </w:rPr>
        <w:t xml:space="preserve"> gruzu betonowego,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miał kamienny lub piasek gruby,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woda do skropienia podczas wałowania i </w:t>
      </w:r>
      <w:proofErr w:type="spellStart"/>
      <w:r w:rsidRPr="00837069">
        <w:rPr>
          <w:rFonts w:cs="Arial"/>
          <w:sz w:val="20"/>
          <w:szCs w:val="20"/>
        </w:rPr>
        <w:t>miałowania</w:t>
      </w:r>
      <w:proofErr w:type="spellEnd"/>
      <w:r w:rsidRPr="00837069">
        <w:rPr>
          <w:rFonts w:cs="Arial"/>
          <w:sz w:val="20"/>
          <w:szCs w:val="20"/>
        </w:rPr>
        <w:t>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2.3. Wymagania dla kruszywa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 wykonania podbudowy należy uż</w:t>
      </w:r>
      <w:r w:rsidR="00EE6F62" w:rsidRPr="00837069">
        <w:rPr>
          <w:rFonts w:cs="Arial"/>
          <w:sz w:val="20"/>
          <w:szCs w:val="20"/>
        </w:rPr>
        <w:t xml:space="preserve">yć kruszywa o uziarnieniu 0-63 mm powstałego z </w:t>
      </w:r>
      <w:proofErr w:type="spellStart"/>
      <w:r w:rsidR="00EE6F62" w:rsidRPr="00837069">
        <w:rPr>
          <w:rFonts w:cs="Arial"/>
          <w:sz w:val="20"/>
          <w:szCs w:val="20"/>
        </w:rPr>
        <w:t>przekruszenia</w:t>
      </w:r>
      <w:proofErr w:type="spellEnd"/>
      <w:r w:rsidR="00EE6F62" w:rsidRPr="00837069">
        <w:rPr>
          <w:rFonts w:cs="Arial"/>
          <w:sz w:val="20"/>
          <w:szCs w:val="20"/>
        </w:rPr>
        <w:t xml:space="preserve"> gruzu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betonowego.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Kruszywo do wykonania podbudowy powinno być uzyskane z </w:t>
      </w:r>
      <w:proofErr w:type="spellStart"/>
      <w:r w:rsidRPr="00837069">
        <w:rPr>
          <w:rFonts w:cs="Arial"/>
          <w:sz w:val="20"/>
          <w:szCs w:val="20"/>
        </w:rPr>
        <w:t>przekruszenia</w:t>
      </w:r>
      <w:proofErr w:type="spellEnd"/>
      <w:r w:rsidRPr="00837069">
        <w:rPr>
          <w:rFonts w:cs="Arial"/>
          <w:sz w:val="20"/>
          <w:szCs w:val="20"/>
        </w:rPr>
        <w:t xml:space="preserve"> gruzu z twardego betonu, bez</w:t>
      </w:r>
      <w:r w:rsidR="00837069">
        <w:rPr>
          <w:rFonts w:cs="Arial"/>
          <w:sz w:val="20"/>
          <w:szCs w:val="20"/>
        </w:rPr>
        <w:t xml:space="preserve"> domieszek z gazobetonu, cegły, śmieci.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Gruz betonowy powinien mieć ciągłe uziarnienie.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2.4. Woda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Woda uż</w:t>
      </w:r>
      <w:r w:rsidR="00EE6F62" w:rsidRPr="00837069">
        <w:rPr>
          <w:rFonts w:cs="Arial"/>
          <w:sz w:val="20"/>
          <w:szCs w:val="20"/>
        </w:rPr>
        <w:t>yta przy wykonywaniu zagęszc</w:t>
      </w:r>
      <w:r>
        <w:rPr>
          <w:rFonts w:cs="Arial"/>
          <w:sz w:val="20"/>
          <w:szCs w:val="20"/>
        </w:rPr>
        <w:t>zania i klinowania podbudowy moż</w:t>
      </w:r>
      <w:r w:rsidR="00EE6F62" w:rsidRPr="00837069">
        <w:rPr>
          <w:rFonts w:cs="Arial"/>
          <w:sz w:val="20"/>
          <w:szCs w:val="20"/>
        </w:rPr>
        <w:t>e być studzienna lub z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wodociągu, bez specjalnych wymagań.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3. SPRZ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3.1.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sprz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tu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wymagania dotyczące sprzętu podano w SST D-00.00.00 „Wymagania ogólne” pkt 3.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3.2. Sprz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 do wykonania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Do wykonania robót związanych z wykonaniem podbudowy Wykonawca powinien dysponować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następującym sprzętem: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r</w:t>
      </w:r>
      <w:r w:rsidR="00837069">
        <w:rPr>
          <w:rFonts w:cs="Arial"/>
          <w:sz w:val="20"/>
          <w:szCs w:val="20"/>
        </w:rPr>
        <w:t>ówniarka</w:t>
      </w:r>
      <w:r w:rsidRPr="00837069">
        <w:rPr>
          <w:rFonts w:cs="Arial"/>
          <w:sz w:val="20"/>
          <w:szCs w:val="20"/>
        </w:rPr>
        <w:t xml:space="preserve"> do rozkładania kruszywa,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walce statyczne gładkie do zagęszczania kruszywa i końcowego dogęszczania,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walce wibracyjne lub wibracyjne zagęszczarki płytowe do klinowania kruszywa miałem kamiennym,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szczotka mechaniczna do usunięcia nadmiaru miału,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przewoźne zbiorniki wody zaopatrzone w urządzenia do rozpryskiwania wody.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4. TRANSPORT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4.1.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transportu</w:t>
      </w:r>
    </w:p>
    <w:p w:rsidR="00D90E25" w:rsidRPr="00837069" w:rsidRDefault="00EE6F62" w:rsidP="00837069">
      <w:pPr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wymagania dotyczące transportu podano w SST D-00.00.00 „Wymagania ogólne” pkt 4.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4.2. Transport kruszywa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Kruszywa moż</w:t>
      </w:r>
      <w:r w:rsidR="00EE6F62" w:rsidRPr="00837069">
        <w:rPr>
          <w:rFonts w:cs="Arial"/>
          <w:sz w:val="20"/>
          <w:szCs w:val="20"/>
        </w:rPr>
        <w:t>na przewozić dowolnymi środkami transportu w warunkach zabezpieczających je przed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zanieczyszczeniem, zmieszaniem z innymi materiałami, nadmiernym wysuszeniem i zawilgoceniem.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 WYKONANIE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lastRenderedPageBreak/>
        <w:t>5.1. Ogólne zasady wykonania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zasady wykonania robót podano w SST D-00.00.00 „Wymagania ogólne” pkt 5.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5.2. Przygotowanie podło</w:t>
      </w:r>
      <w:r w:rsidR="00837069">
        <w:rPr>
          <w:rFonts w:cs="Arial"/>
          <w:sz w:val="20"/>
          <w:szCs w:val="20"/>
        </w:rPr>
        <w:t>ż</w:t>
      </w:r>
      <w:r w:rsidRPr="00837069">
        <w:rPr>
          <w:rFonts w:cs="Arial"/>
          <w:b/>
          <w:bCs/>
          <w:sz w:val="20"/>
          <w:szCs w:val="20"/>
        </w:rPr>
        <w:t>a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Podbudowa z kruszywa </w:t>
      </w:r>
      <w:r w:rsidR="00837069">
        <w:rPr>
          <w:rFonts w:cs="Arial"/>
          <w:sz w:val="20"/>
          <w:szCs w:val="20"/>
        </w:rPr>
        <w:t>z gruzu betonowego będzie rozłoż</w:t>
      </w:r>
      <w:r w:rsidRPr="00837069">
        <w:rPr>
          <w:rFonts w:cs="Arial"/>
          <w:sz w:val="20"/>
          <w:szCs w:val="20"/>
        </w:rPr>
        <w:t xml:space="preserve">ona </w:t>
      </w:r>
      <w:r w:rsidR="00837069">
        <w:rPr>
          <w:rFonts w:cs="Arial"/>
          <w:sz w:val="20"/>
          <w:szCs w:val="20"/>
        </w:rPr>
        <w:t>na wcześniej wyrównanej nawierzchni drogi.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5.3. Wbudowanie i zag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szczanie kruszywa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Kruszywo powinno być rozłoż</w:t>
      </w:r>
      <w:r w:rsidR="00EE6F62" w:rsidRPr="00837069">
        <w:rPr>
          <w:rFonts w:cs="Arial"/>
          <w:sz w:val="20"/>
          <w:szCs w:val="20"/>
        </w:rPr>
        <w:t>one w warstwi</w:t>
      </w:r>
      <w:r>
        <w:rPr>
          <w:rFonts w:cs="Arial"/>
          <w:sz w:val="20"/>
          <w:szCs w:val="20"/>
        </w:rPr>
        <w:t>e o jednakowej grubości, przy uż</w:t>
      </w:r>
      <w:r w:rsidR="00EE6F62" w:rsidRPr="00837069">
        <w:rPr>
          <w:rFonts w:cs="Arial"/>
          <w:sz w:val="20"/>
          <w:szCs w:val="20"/>
        </w:rPr>
        <w:t>yciu równiarki</w:t>
      </w:r>
      <w:r>
        <w:rPr>
          <w:rFonts w:cs="Arial"/>
          <w:sz w:val="20"/>
          <w:szCs w:val="20"/>
        </w:rPr>
        <w:t>. Grubość rozłoż</w:t>
      </w:r>
      <w:r w:rsidR="00EE6F62" w:rsidRPr="00837069">
        <w:rPr>
          <w:rFonts w:cs="Arial"/>
          <w:sz w:val="20"/>
          <w:szCs w:val="20"/>
        </w:rPr>
        <w:t>onej warstwy powinna być taka, aby po jej zagęszczeniu i</w:t>
      </w:r>
      <w:r>
        <w:rPr>
          <w:rFonts w:cs="Arial"/>
          <w:sz w:val="20"/>
          <w:szCs w:val="20"/>
        </w:rPr>
        <w:t xml:space="preserve"> </w:t>
      </w:r>
      <w:proofErr w:type="spellStart"/>
      <w:r w:rsidR="00EE6F62" w:rsidRPr="00837069">
        <w:rPr>
          <w:rFonts w:cs="Arial"/>
          <w:sz w:val="20"/>
          <w:szCs w:val="20"/>
        </w:rPr>
        <w:t>zamiałowaniu</w:t>
      </w:r>
      <w:proofErr w:type="spellEnd"/>
      <w:r w:rsidR="00EE6F62" w:rsidRPr="00837069">
        <w:rPr>
          <w:rFonts w:cs="Arial"/>
          <w:sz w:val="20"/>
          <w:szCs w:val="20"/>
        </w:rPr>
        <w:t xml:space="preserve"> osiągnęła zakładaną grubość 15 cm.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Kruszywo po rozłoż</w:t>
      </w:r>
      <w:r w:rsidR="00EE6F62" w:rsidRPr="00837069">
        <w:rPr>
          <w:rFonts w:cs="Arial"/>
          <w:sz w:val="20"/>
          <w:szCs w:val="20"/>
        </w:rPr>
        <w:t xml:space="preserve">eniu powinno być </w:t>
      </w:r>
      <w:proofErr w:type="spellStart"/>
      <w:r w:rsidR="00EE6F62" w:rsidRPr="00837069">
        <w:rPr>
          <w:rFonts w:cs="Arial"/>
          <w:sz w:val="20"/>
          <w:szCs w:val="20"/>
        </w:rPr>
        <w:t>przewałowane</w:t>
      </w:r>
      <w:proofErr w:type="spellEnd"/>
      <w:r w:rsidR="00EE6F62" w:rsidRPr="00837069">
        <w:rPr>
          <w:rFonts w:cs="Arial"/>
          <w:sz w:val="20"/>
          <w:szCs w:val="20"/>
        </w:rPr>
        <w:t xml:space="preserve"> dwoma przejściami walca statycznego, gładkiego o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nacisk</w:t>
      </w:r>
      <w:r>
        <w:rPr>
          <w:rFonts w:cs="Arial"/>
          <w:sz w:val="20"/>
          <w:szCs w:val="20"/>
        </w:rPr>
        <w:t>u jednostkowym nie mniejszym niż</w:t>
      </w:r>
      <w:r w:rsidR="00EE6F62" w:rsidRPr="00837069">
        <w:rPr>
          <w:rFonts w:cs="Arial"/>
          <w:sz w:val="20"/>
          <w:szCs w:val="20"/>
        </w:rPr>
        <w:t xml:space="preserve"> 30 </w:t>
      </w:r>
      <w:proofErr w:type="spellStart"/>
      <w:r w:rsidR="00EE6F62" w:rsidRPr="00837069">
        <w:rPr>
          <w:rFonts w:cs="Arial"/>
          <w:sz w:val="20"/>
          <w:szCs w:val="20"/>
        </w:rPr>
        <w:t>kN</w:t>
      </w:r>
      <w:proofErr w:type="spellEnd"/>
      <w:r w:rsidR="00EE6F62" w:rsidRPr="00837069">
        <w:rPr>
          <w:rFonts w:cs="Arial"/>
          <w:sz w:val="20"/>
          <w:szCs w:val="20"/>
        </w:rPr>
        <w:t>/m. Zagęszczenie powinno rozpocząć się od dolnej krawędzi</w:t>
      </w:r>
      <w:r>
        <w:rPr>
          <w:rFonts w:cs="Arial"/>
          <w:sz w:val="20"/>
          <w:szCs w:val="20"/>
        </w:rPr>
        <w:t xml:space="preserve"> i przesuwać się pasami podłuż</w:t>
      </w:r>
      <w:r w:rsidR="00EE6F62" w:rsidRPr="00837069">
        <w:rPr>
          <w:rFonts w:cs="Arial"/>
          <w:sz w:val="20"/>
          <w:szCs w:val="20"/>
        </w:rPr>
        <w:t>nymi, częściowo nakładającymi się, w kierunku górnej krawędzi.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 przywałowaniu kruszywa należ</w:t>
      </w:r>
      <w:r w:rsidR="00EE6F62" w:rsidRPr="00837069">
        <w:rPr>
          <w:rFonts w:cs="Arial"/>
          <w:sz w:val="20"/>
          <w:szCs w:val="20"/>
        </w:rPr>
        <w:t>y powierzchnię zamknąć miałem kamiennym lub grubym piaskiem.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 zagęszczania należy uż</w:t>
      </w:r>
      <w:r w:rsidR="00EE6F62" w:rsidRPr="00837069">
        <w:rPr>
          <w:rFonts w:cs="Arial"/>
          <w:sz w:val="20"/>
          <w:szCs w:val="20"/>
        </w:rPr>
        <w:t xml:space="preserve">yć walca wibracyjnego o nacisku jednostkowym co najmniej 18 </w:t>
      </w:r>
      <w:proofErr w:type="spellStart"/>
      <w:r w:rsidR="00EE6F62" w:rsidRPr="00837069">
        <w:rPr>
          <w:rFonts w:cs="Arial"/>
          <w:sz w:val="20"/>
          <w:szCs w:val="20"/>
        </w:rPr>
        <w:t>kN</w:t>
      </w:r>
      <w:proofErr w:type="spellEnd"/>
      <w:r w:rsidR="00EE6F62" w:rsidRPr="00837069">
        <w:rPr>
          <w:rFonts w:cs="Arial"/>
          <w:sz w:val="20"/>
          <w:szCs w:val="20"/>
        </w:rPr>
        <w:t>/m, albo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płytową zagęszczarkę wibracyjną o nacisku jednostkowym co najmniej 16 </w:t>
      </w:r>
      <w:proofErr w:type="spellStart"/>
      <w:r w:rsidRPr="00837069">
        <w:rPr>
          <w:rFonts w:cs="Arial"/>
          <w:sz w:val="20"/>
          <w:szCs w:val="20"/>
        </w:rPr>
        <w:t>kN</w:t>
      </w:r>
      <w:proofErr w:type="spellEnd"/>
      <w:r w:rsidRPr="00837069">
        <w:rPr>
          <w:rFonts w:cs="Arial"/>
          <w:sz w:val="20"/>
          <w:szCs w:val="20"/>
        </w:rPr>
        <w:t>/m2.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Po </w:t>
      </w:r>
      <w:r w:rsidR="00837069">
        <w:rPr>
          <w:rFonts w:cs="Arial"/>
          <w:sz w:val="20"/>
          <w:szCs w:val="20"/>
        </w:rPr>
        <w:t>zagęszczeniu nadmiar miału należ</w:t>
      </w:r>
      <w:r w:rsidRPr="00837069">
        <w:rPr>
          <w:rFonts w:cs="Arial"/>
          <w:sz w:val="20"/>
          <w:szCs w:val="20"/>
        </w:rPr>
        <w:t>y usunąć z podbudowy.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Następnie warstwa powinna być przywałowana walcem statycznym gładkim o nacisku jednostkowym nie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mniejszym niż</w:t>
      </w:r>
      <w:r w:rsidR="00EE6F62" w:rsidRPr="00837069">
        <w:rPr>
          <w:rFonts w:cs="Arial"/>
          <w:sz w:val="20"/>
          <w:szCs w:val="20"/>
        </w:rPr>
        <w:t xml:space="preserve"> 50 </w:t>
      </w:r>
      <w:proofErr w:type="spellStart"/>
      <w:r w:rsidR="00EE6F62" w:rsidRPr="00837069">
        <w:rPr>
          <w:rFonts w:cs="Arial"/>
          <w:sz w:val="20"/>
          <w:szCs w:val="20"/>
        </w:rPr>
        <w:t>kN</w:t>
      </w:r>
      <w:proofErr w:type="spellEnd"/>
      <w:r w:rsidR="00EE6F62" w:rsidRPr="00837069">
        <w:rPr>
          <w:rFonts w:cs="Arial"/>
          <w:sz w:val="20"/>
          <w:szCs w:val="20"/>
        </w:rPr>
        <w:t>/m w celu dogęszczenia kruszywa poluzowanego w czasie szczotkowania.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Podc</w:t>
      </w:r>
      <w:r w:rsidR="00AC5BA1">
        <w:rPr>
          <w:rFonts w:cs="Arial"/>
          <w:sz w:val="20"/>
          <w:szCs w:val="20"/>
        </w:rPr>
        <w:t xml:space="preserve">zas wałowania i </w:t>
      </w:r>
      <w:proofErr w:type="spellStart"/>
      <w:r w:rsidR="00AC5BA1">
        <w:rPr>
          <w:rFonts w:cs="Arial"/>
          <w:sz w:val="20"/>
          <w:szCs w:val="20"/>
        </w:rPr>
        <w:t>miałowania</w:t>
      </w:r>
      <w:proofErr w:type="spellEnd"/>
      <w:r w:rsidR="00AC5BA1">
        <w:rPr>
          <w:rFonts w:cs="Arial"/>
          <w:sz w:val="20"/>
          <w:szCs w:val="20"/>
        </w:rPr>
        <w:t xml:space="preserve"> należ</w:t>
      </w:r>
      <w:r w:rsidRPr="00837069">
        <w:rPr>
          <w:rFonts w:cs="Arial"/>
          <w:sz w:val="20"/>
          <w:szCs w:val="20"/>
        </w:rPr>
        <w:t>y spryskiwać powierzchnię podbudowy wodą.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Należ</w:t>
      </w:r>
      <w:r w:rsidR="00EE6F62" w:rsidRPr="00837069">
        <w:rPr>
          <w:rFonts w:cs="Arial"/>
          <w:sz w:val="20"/>
          <w:szCs w:val="20"/>
        </w:rPr>
        <w:t>y zwr</w:t>
      </w:r>
      <w:r>
        <w:rPr>
          <w:rFonts w:cs="Arial"/>
          <w:sz w:val="20"/>
          <w:szCs w:val="20"/>
        </w:rPr>
        <w:t>ócić uwagę, aby nadmiar wody, uż</w:t>
      </w:r>
      <w:r w:rsidR="00EE6F62" w:rsidRPr="00837069">
        <w:rPr>
          <w:rFonts w:cs="Arial"/>
          <w:sz w:val="20"/>
          <w:szCs w:val="20"/>
        </w:rPr>
        <w:t>ytej przy zagęszczaniu warstwy gruzu, nie spowodował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rozmiękczenia podłoż</w:t>
      </w:r>
      <w:r w:rsidR="00EE6F62" w:rsidRPr="00837069">
        <w:rPr>
          <w:rFonts w:cs="Arial"/>
          <w:sz w:val="20"/>
          <w:szCs w:val="20"/>
        </w:rPr>
        <w:t>a.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5.4. Pochylenie podłu</w:t>
      </w:r>
      <w:r w:rsidR="00AC5BA1">
        <w:rPr>
          <w:rFonts w:cs="Arial"/>
          <w:sz w:val="20"/>
          <w:szCs w:val="20"/>
        </w:rPr>
        <w:t>ż</w:t>
      </w:r>
      <w:r w:rsidRPr="00837069">
        <w:rPr>
          <w:rFonts w:cs="Arial"/>
          <w:b/>
          <w:bCs/>
          <w:sz w:val="20"/>
          <w:szCs w:val="20"/>
        </w:rPr>
        <w:t>ne i poprzeczne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Jeż</w:t>
      </w:r>
      <w:r w:rsidR="00EE6F62" w:rsidRPr="00837069">
        <w:rPr>
          <w:rFonts w:cs="Arial"/>
          <w:sz w:val="20"/>
          <w:szCs w:val="20"/>
        </w:rPr>
        <w:t>eli przekazana Wykonawcy dokumentacja techniczna nie zawiera danych o projektowanych spadkach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podłużnych (profil podłuż</w:t>
      </w:r>
      <w:r w:rsidR="00EE6F62" w:rsidRPr="00837069">
        <w:rPr>
          <w:rFonts w:cs="Arial"/>
          <w:sz w:val="20"/>
          <w:szCs w:val="20"/>
        </w:rPr>
        <w:t>ny) niweleta jezdni powinna w sposób płynny odwzorowywać ukształtowanie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is</w:t>
      </w:r>
      <w:r w:rsidR="00AC5BA1">
        <w:rPr>
          <w:rFonts w:cs="Arial"/>
          <w:sz w:val="20"/>
          <w:szCs w:val="20"/>
        </w:rPr>
        <w:t>tniejącej drogi, a spadki podłuż</w:t>
      </w:r>
      <w:r w:rsidRPr="00837069">
        <w:rPr>
          <w:rFonts w:cs="Arial"/>
          <w:sz w:val="20"/>
          <w:szCs w:val="20"/>
        </w:rPr>
        <w:t>ne powinny się zawierać w przedziale</w:t>
      </w:r>
      <w:r w:rsidR="00AC5BA1">
        <w:rPr>
          <w:rFonts w:cs="Arial"/>
          <w:sz w:val="20"/>
          <w:szCs w:val="20"/>
        </w:rPr>
        <w:t xml:space="preserve"> 0,3%÷10,0%. Spadki mniejsze niż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0,3% są dopuszczalne wyłącznie na odcinku nie przekraczającym długości 100m i na granicy wododziałów.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Przekrój poprzeczny podbudowy – daszkowy, o spadkach 3%. Pochylenie poprzeczne na łukach poziomych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powinno być dostosowane do wielkości promienia łuku, zgodnie z zasadami określonymi szczegółowo 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przepisach związanych (pkt. 10.9), jak dla prędkości projektowej 30km/h.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 KONTROLA JAKO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6.1. Ogólne zasady kontroli jako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zasady kontroli jakości robót podano w SST D-00.00.00 „Wymagania ogólne” pkt 6.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6.2. Badania przed przyst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pieniem do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Przed przystąpieniem do robót Wykonawca powinien wykonać badania kruszywa przeznaczonego do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wykonania robót i p</w:t>
      </w:r>
      <w:r w:rsidR="00AC5BA1">
        <w:rPr>
          <w:rFonts w:cs="Arial"/>
          <w:sz w:val="20"/>
          <w:szCs w:val="20"/>
        </w:rPr>
        <w:t>rzedstawić wyniki tych badań Inż</w:t>
      </w:r>
      <w:r w:rsidRPr="00837069">
        <w:rPr>
          <w:rFonts w:cs="Arial"/>
          <w:sz w:val="20"/>
          <w:szCs w:val="20"/>
        </w:rPr>
        <w:t>ynierowi.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6.3. Badania w czasie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6.3.1. Badania kruszyw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Badania kruszywa pod względem uziarnienia, zawartości zanieczyszczeń obcych oraz zawartości </w:t>
      </w:r>
      <w:proofErr w:type="spellStart"/>
      <w:r w:rsidRPr="00837069">
        <w:rPr>
          <w:rFonts w:cs="Arial"/>
          <w:sz w:val="20"/>
          <w:szCs w:val="20"/>
        </w:rPr>
        <w:t>ziarn</w:t>
      </w:r>
      <w:proofErr w:type="spellEnd"/>
      <w:r w:rsidR="00AC5BA1">
        <w:rPr>
          <w:rFonts w:cs="Arial"/>
          <w:sz w:val="20"/>
          <w:szCs w:val="20"/>
        </w:rPr>
        <w:t xml:space="preserve"> nieforemnych należy wykonywać na bieżąco, jeżeli wbudowywana partia róż</w:t>
      </w:r>
      <w:r w:rsidRPr="00837069">
        <w:rPr>
          <w:rFonts w:cs="Arial"/>
          <w:sz w:val="20"/>
          <w:szCs w:val="20"/>
        </w:rPr>
        <w:t>ni się wizualnie od partii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 xml:space="preserve">badanej przed </w:t>
      </w:r>
      <w:r w:rsidR="00AC5BA1">
        <w:rPr>
          <w:rFonts w:cs="Arial"/>
          <w:sz w:val="20"/>
          <w:szCs w:val="20"/>
        </w:rPr>
        <w:t>rozpoczęciem robót. Próbki należ</w:t>
      </w:r>
      <w:r w:rsidRPr="00837069">
        <w:rPr>
          <w:rFonts w:cs="Arial"/>
          <w:sz w:val="20"/>
          <w:szCs w:val="20"/>
        </w:rPr>
        <w:t>y p</w:t>
      </w:r>
      <w:r w:rsidR="00AC5BA1">
        <w:rPr>
          <w:rFonts w:cs="Arial"/>
          <w:sz w:val="20"/>
          <w:szCs w:val="20"/>
        </w:rPr>
        <w:t>obierać w sposób losowy z rozłoż</w:t>
      </w:r>
      <w:r w:rsidRPr="00837069">
        <w:rPr>
          <w:rFonts w:cs="Arial"/>
          <w:sz w:val="20"/>
          <w:szCs w:val="20"/>
        </w:rPr>
        <w:t>onej warstwy, przed jej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 xml:space="preserve">zagęszczeniem. </w:t>
      </w:r>
      <w:r w:rsidR="00AC5BA1">
        <w:rPr>
          <w:rFonts w:cs="Arial"/>
          <w:sz w:val="20"/>
          <w:szCs w:val="20"/>
        </w:rPr>
        <w:t>Wyniki badań powinny być na bież</w:t>
      </w:r>
      <w:r w:rsidRPr="00837069">
        <w:rPr>
          <w:rFonts w:cs="Arial"/>
          <w:sz w:val="20"/>
          <w:szCs w:val="20"/>
        </w:rPr>
        <w:t xml:space="preserve">ąco </w:t>
      </w:r>
      <w:r w:rsidR="00AC5BA1">
        <w:rPr>
          <w:rFonts w:cs="Arial"/>
          <w:sz w:val="20"/>
          <w:szCs w:val="20"/>
        </w:rPr>
        <w:t>przekazywane Inż</w:t>
      </w:r>
      <w:r w:rsidRPr="00837069">
        <w:rPr>
          <w:rFonts w:cs="Arial"/>
          <w:sz w:val="20"/>
          <w:szCs w:val="20"/>
        </w:rPr>
        <w:t>ynierowi.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6.3.2.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 i cech geometrycznych podbudowy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="00AC5BA1">
        <w:rPr>
          <w:rFonts w:cs="Arial"/>
          <w:sz w:val="20"/>
          <w:szCs w:val="20"/>
        </w:rPr>
        <w:t>szerokość podbudowy nie może różnić się od założonej szerokości o więcej niż</w:t>
      </w:r>
      <w:r w:rsidRPr="00837069">
        <w:rPr>
          <w:rFonts w:cs="Arial"/>
          <w:sz w:val="20"/>
          <w:szCs w:val="20"/>
        </w:rPr>
        <w:t xml:space="preserve"> +10, –5 cm;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równość podbudowy mierzona łatą 4-metrową zgodnie z BN-68/8931-04 – nierówności nie mogą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przekraczać 12 mm;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spadki poprzeczne powinny być zgodne z dokumentacją techniczną z tolerancją </w:t>
      </w:r>
      <w:r w:rsidR="00AC5BA1">
        <w:rPr>
          <w:rFonts w:cs="Symbol"/>
          <w:sz w:val="20"/>
          <w:szCs w:val="20"/>
        </w:rPr>
        <w:t xml:space="preserve">+/- </w:t>
      </w:r>
      <w:r w:rsidRPr="00837069">
        <w:rPr>
          <w:rFonts w:cs="Arial"/>
          <w:sz w:val="20"/>
          <w:szCs w:val="20"/>
        </w:rPr>
        <w:t>0,5%;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grubość</w:t>
      </w:r>
      <w:r w:rsidR="00AC5BA1">
        <w:rPr>
          <w:rFonts w:cs="Arial"/>
          <w:sz w:val="20"/>
          <w:szCs w:val="20"/>
        </w:rPr>
        <w:t xml:space="preserve"> podbudowy po uwałowaniu nie może róż</w:t>
      </w:r>
      <w:r w:rsidRPr="00837069">
        <w:rPr>
          <w:rFonts w:cs="Arial"/>
          <w:sz w:val="20"/>
          <w:szCs w:val="20"/>
        </w:rPr>
        <w:t>nić się od zakładanej grubości 15</w:t>
      </w:r>
      <w:r w:rsidR="00AC5BA1">
        <w:rPr>
          <w:rFonts w:cs="Arial"/>
          <w:sz w:val="20"/>
          <w:szCs w:val="20"/>
        </w:rPr>
        <w:t xml:space="preserve"> cm o więcej niż</w:t>
      </w:r>
      <w:r w:rsidRPr="00837069">
        <w:rPr>
          <w:rFonts w:cs="Arial"/>
          <w:sz w:val="20"/>
          <w:szCs w:val="20"/>
        </w:rPr>
        <w:t xml:space="preserve"> </w:t>
      </w:r>
      <w:r w:rsidR="00AC5BA1">
        <w:rPr>
          <w:rFonts w:cs="Symbol"/>
          <w:sz w:val="20"/>
          <w:szCs w:val="20"/>
        </w:rPr>
        <w:t xml:space="preserve">+/- </w:t>
      </w:r>
      <w:r w:rsidRPr="00837069">
        <w:rPr>
          <w:rFonts w:cs="Arial"/>
          <w:sz w:val="20"/>
          <w:szCs w:val="20"/>
        </w:rPr>
        <w:t>2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cm;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="00AC5BA1">
        <w:rPr>
          <w:rFonts w:cs="Arial"/>
          <w:sz w:val="20"/>
          <w:szCs w:val="20"/>
        </w:rPr>
        <w:t>nośność podbudowy należ</w:t>
      </w:r>
      <w:r w:rsidRPr="00837069">
        <w:rPr>
          <w:rFonts w:cs="Arial"/>
          <w:sz w:val="20"/>
          <w:szCs w:val="20"/>
        </w:rPr>
        <w:t>y mierzyć zgodnie z normą BN-64/8931-02, przy czym:</w:t>
      </w:r>
    </w:p>
    <w:p w:rsidR="00EE6F62" w:rsidRPr="00837069" w:rsidRDefault="00EE6F62" w:rsidP="00AC5BA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pierwotny modu</w:t>
      </w:r>
      <w:r w:rsidR="00AC5BA1">
        <w:rPr>
          <w:rFonts w:cs="Arial"/>
          <w:sz w:val="20"/>
          <w:szCs w:val="20"/>
        </w:rPr>
        <w:t>ł odkształcenia mierzony przy uż</w:t>
      </w:r>
      <w:r w:rsidRPr="00837069">
        <w:rPr>
          <w:rFonts w:cs="Arial"/>
          <w:sz w:val="20"/>
          <w:szCs w:val="20"/>
        </w:rPr>
        <w:t>yciu płyty o średnicy 30 cm powinien wynosić min. 100</w:t>
      </w:r>
      <w:r w:rsidR="00AC5BA1">
        <w:rPr>
          <w:rFonts w:cs="Arial"/>
          <w:sz w:val="20"/>
          <w:szCs w:val="20"/>
        </w:rPr>
        <w:t xml:space="preserve"> </w:t>
      </w:r>
      <w:proofErr w:type="spellStart"/>
      <w:r w:rsidRPr="00837069">
        <w:rPr>
          <w:rFonts w:cs="Arial"/>
          <w:sz w:val="20"/>
          <w:szCs w:val="20"/>
        </w:rPr>
        <w:t>MPa</w:t>
      </w:r>
      <w:proofErr w:type="spellEnd"/>
      <w:r w:rsidRPr="00837069">
        <w:rPr>
          <w:rFonts w:cs="Arial"/>
          <w:sz w:val="20"/>
          <w:szCs w:val="20"/>
        </w:rPr>
        <w:t>, wtórny modu</w:t>
      </w:r>
      <w:r w:rsidR="00AC5BA1">
        <w:rPr>
          <w:rFonts w:cs="Arial"/>
          <w:sz w:val="20"/>
          <w:szCs w:val="20"/>
        </w:rPr>
        <w:t>ł odkształcenia mierzony jak wyż</w:t>
      </w:r>
      <w:r w:rsidRPr="00837069">
        <w:rPr>
          <w:rFonts w:cs="Arial"/>
          <w:sz w:val="20"/>
          <w:szCs w:val="20"/>
        </w:rPr>
        <w:t xml:space="preserve">ej powinien wynosić min. 140 </w:t>
      </w:r>
      <w:proofErr w:type="spellStart"/>
      <w:r w:rsidRPr="00837069">
        <w:rPr>
          <w:rFonts w:cs="Arial"/>
          <w:sz w:val="20"/>
          <w:szCs w:val="20"/>
        </w:rPr>
        <w:t>MPa</w:t>
      </w:r>
      <w:proofErr w:type="spellEnd"/>
      <w:r w:rsidRPr="00837069">
        <w:rPr>
          <w:rFonts w:cs="Arial"/>
          <w:sz w:val="20"/>
          <w:szCs w:val="20"/>
        </w:rPr>
        <w:t>; zagęszczenie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podbudowy nal</w:t>
      </w:r>
      <w:r w:rsidR="00AC5BA1">
        <w:rPr>
          <w:rFonts w:cs="Arial"/>
          <w:sz w:val="20"/>
          <w:szCs w:val="20"/>
        </w:rPr>
        <w:t>eż</w:t>
      </w:r>
      <w:r w:rsidRPr="00837069">
        <w:rPr>
          <w:rFonts w:cs="Arial"/>
          <w:sz w:val="20"/>
          <w:szCs w:val="20"/>
        </w:rPr>
        <w:t>y uznać za prawidłowe, gdy stosunek wtórnego modułu odkształcenia do pierwotnego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modułu odkształcenia jest nie większy od 2,2.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6.4. Zasady post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powania z wadliwie wykonanymi odcinkami podbudowy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Wszystkie powierzchnie podbudowy, które wykazują większe odchylenia cech geometrycznych od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określonych w punkcie 6.3, powinny być naprawione na koszt Wykonawcy.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Na wszystkich powierzchniach wadliwych pod względem grubości Wykonawca wykona naprawę podbudowy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przez spulchnienie lub wybranie warstwy, uzupełnienie nowym materiałem o odpowiednich właściwościach,</w:t>
      </w:r>
      <w:r w:rsidR="00573B32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wyrównanie i powtórne zagęszczenie. Po wykonaniu tych robót nastąpi ponowny pomiar i ocena grubości</w:t>
      </w:r>
      <w:r w:rsidR="00573B32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warstwy. Koszty tych robót poniesie Wykonawca.</w:t>
      </w:r>
    </w:p>
    <w:p w:rsidR="00EE6F62" w:rsidRPr="00837069" w:rsidRDefault="00573B3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Jeż</w:t>
      </w:r>
      <w:r w:rsidR="00EE6F62" w:rsidRPr="00837069">
        <w:rPr>
          <w:rFonts w:cs="Arial"/>
          <w:sz w:val="20"/>
          <w:szCs w:val="20"/>
        </w:rPr>
        <w:t>eli nośność podbudowy będzie mniejsza od wymaganej, to Wykonawca wykona wszelkie roboty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niezbędne do zapewnienia wymaga</w:t>
      </w:r>
      <w:r>
        <w:rPr>
          <w:rFonts w:cs="Arial"/>
          <w:sz w:val="20"/>
          <w:szCs w:val="20"/>
        </w:rPr>
        <w:t>nej nośności, zalecone przez Inż</w:t>
      </w:r>
      <w:r w:rsidR="00EE6F62" w:rsidRPr="00837069">
        <w:rPr>
          <w:rFonts w:cs="Arial"/>
          <w:sz w:val="20"/>
          <w:szCs w:val="20"/>
        </w:rPr>
        <w:t>yniera. Koszty tych dodatkowych robót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 xml:space="preserve">poniesie Wykonawca </w:t>
      </w:r>
      <w:r>
        <w:rPr>
          <w:rFonts w:cs="Arial"/>
          <w:sz w:val="20"/>
          <w:szCs w:val="20"/>
        </w:rPr>
        <w:t>podbudowy tylko wtedy, gdy zaniż</w:t>
      </w:r>
      <w:r w:rsidR="00EE6F62" w:rsidRPr="00837069">
        <w:rPr>
          <w:rFonts w:cs="Arial"/>
          <w:sz w:val="20"/>
          <w:szCs w:val="20"/>
        </w:rPr>
        <w:t>enie nośności podbudowy wynikło z niewłaściwego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wykonania robót przez Wykonawcę podbudowy.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7. OBMIAR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7.1. Ogólne zasady obmiaru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zasady obmiaru robót podano w SST D-00.00.00 „Wymagania ogólne” pkt 7.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7.2. Jednostka obmiarowa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Jednostką obmiarową jest metr kwadratowy (m2) wykonanej podbudowy.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8. ODBIÓR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Ogólne zasady odbioru robót podano w SST D-00.00.00 „Wymagania ogólne” pkt 8.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Roboty uznaje się za wykonane zgodnie z dok</w:t>
      </w:r>
      <w:r w:rsidR="00573B32">
        <w:rPr>
          <w:rFonts w:cs="Arial"/>
          <w:sz w:val="20"/>
          <w:szCs w:val="20"/>
        </w:rPr>
        <w:t>umentacją, SST i wymaganiami Inżyniera, jeż</w:t>
      </w:r>
      <w:r w:rsidRPr="00837069">
        <w:rPr>
          <w:rFonts w:cs="Arial"/>
          <w:sz w:val="20"/>
          <w:szCs w:val="20"/>
        </w:rPr>
        <w:t>eli wszystkie</w:t>
      </w:r>
      <w:r w:rsidR="00573B32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pomiary i badania z zachowaniem tolerancji wg punktu 6 dały wyniki pozytywne.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9. PODSTAWA PŁATNO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9.1. Ogólne ustalenia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podstawy płatno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ustalenia dotyczące podstawy płatności podano w SST D-00.00.00 „Wymagania ogólne” pkt 9.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9.2. Cena jednostki obmiarowej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Cena wykonania 1 m2 podbudowy z kruszywa z gruzu betonowego obejmuje: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roboty przygotowawcze i prace pomiarowe,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zabezpieczenie i oznakowanie robót,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dostarczenie materiałów na miejsce wbudowania,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="00573B32">
        <w:rPr>
          <w:rFonts w:cs="Arial"/>
          <w:sz w:val="20"/>
          <w:szCs w:val="20"/>
        </w:rPr>
        <w:t>rozłoż</w:t>
      </w:r>
      <w:r w:rsidRPr="00837069">
        <w:rPr>
          <w:rFonts w:cs="Arial"/>
          <w:sz w:val="20"/>
          <w:szCs w:val="20"/>
        </w:rPr>
        <w:t>enie kruszywa,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zagęszczenie warstwy z </w:t>
      </w:r>
      <w:proofErr w:type="spellStart"/>
      <w:r w:rsidRPr="00837069">
        <w:rPr>
          <w:rFonts w:cs="Arial"/>
          <w:sz w:val="20"/>
          <w:szCs w:val="20"/>
        </w:rPr>
        <w:t>zamiałowaniem</w:t>
      </w:r>
      <w:proofErr w:type="spellEnd"/>
      <w:r w:rsidRPr="00837069">
        <w:rPr>
          <w:rFonts w:cs="Arial"/>
          <w:sz w:val="20"/>
          <w:szCs w:val="20"/>
        </w:rPr>
        <w:t>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przeprowadzenie pomiarów i badań laboratoryjnych wymaganych w specyfikacji technicznej,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utrzymanie podbudowy w czasie trwania robót,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uporządkowanie terenu 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10. PRZEPISY ZWI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ZANE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1. PN-B-06714-12 Kruszywa mineralne. Badania. Oznaczanie zawartości zanieczyszczeń obcych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2. PN-B-06714-15 Kruszywa mineralne. Badania. Oznaczanie składu ziarnowego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3. PN-B-06714-18 Kruszywa mineralne. Badania. Oznaczanie nasiąkliwości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4. PN-B-06714-26 Kruszywa mineralne. Badania. Oznaczanie zawartości zanieczyszczeń organicznych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5. PN-B-11112 Kruszywo mineralne. Kruszywo łamane do nawierzchni drogowych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6. PN-S-96023 Konstrukcje drogowe. Podbudowa i nawierzchnia z tłucznia kamiennego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7. BN-64/8931-02 Drogi samochodowe. Oznaczanie modułu odkształcenia nawierzchni podatnych</w:t>
      </w:r>
    </w:p>
    <w:p w:rsidR="00EE6F62" w:rsidRPr="00837069" w:rsidRDefault="00573B3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 podłoża przez obciąż</w:t>
      </w:r>
      <w:r w:rsidR="00EE6F62" w:rsidRPr="00837069">
        <w:rPr>
          <w:rFonts w:cs="Arial"/>
          <w:sz w:val="20"/>
          <w:szCs w:val="20"/>
        </w:rPr>
        <w:t>enie płytą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8. BN-68/8931-04 Drogi samochodowe. Pomiar równości nawierzchni </w:t>
      </w:r>
      <w:proofErr w:type="spellStart"/>
      <w:r w:rsidRPr="00837069">
        <w:rPr>
          <w:rFonts w:cs="Arial"/>
          <w:sz w:val="20"/>
          <w:szCs w:val="20"/>
        </w:rPr>
        <w:t>planografem</w:t>
      </w:r>
      <w:proofErr w:type="spellEnd"/>
      <w:r w:rsidRPr="00837069">
        <w:rPr>
          <w:rFonts w:cs="Arial"/>
          <w:sz w:val="20"/>
          <w:szCs w:val="20"/>
        </w:rPr>
        <w:t xml:space="preserve"> i łatą.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9. Rozporządzenie ministra transportu i gospodarki morskiej z dnia 2 marca 1999 r. w sprawie warunków</w:t>
      </w:r>
    </w:p>
    <w:p w:rsidR="00EE6F62" w:rsidRPr="00837069" w:rsidRDefault="00EE6F62" w:rsidP="00837069">
      <w:pPr>
        <w:jc w:val="both"/>
        <w:rPr>
          <w:sz w:val="20"/>
          <w:szCs w:val="20"/>
        </w:rPr>
      </w:pPr>
      <w:r w:rsidRPr="00837069">
        <w:rPr>
          <w:rFonts w:cs="Arial"/>
          <w:sz w:val="20"/>
          <w:szCs w:val="20"/>
        </w:rPr>
        <w:t>technicznych, jakim powinny odpowiadać drogi publiczne i ich usytuowanie (Dz. U. Nr 43, poz. 430).</w:t>
      </w:r>
    </w:p>
    <w:sectPr w:rsidR="00EE6F62" w:rsidRPr="00837069" w:rsidSect="00D90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LuzSans-Boo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6F62"/>
    <w:rsid w:val="003C088A"/>
    <w:rsid w:val="0052266F"/>
    <w:rsid w:val="00573B32"/>
    <w:rsid w:val="00756136"/>
    <w:rsid w:val="00837069"/>
    <w:rsid w:val="0088578D"/>
    <w:rsid w:val="00AC5BA1"/>
    <w:rsid w:val="00D90E25"/>
    <w:rsid w:val="00EE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E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1397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</dc:creator>
  <cp:keywords/>
  <dc:description/>
  <cp:lastModifiedBy>Dyrektor</cp:lastModifiedBy>
  <cp:revision>4</cp:revision>
  <dcterms:created xsi:type="dcterms:W3CDTF">2012-05-24T08:21:00Z</dcterms:created>
  <dcterms:modified xsi:type="dcterms:W3CDTF">2016-05-24T05:44:00Z</dcterms:modified>
</cp:coreProperties>
</file>